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061FA" w14:textId="77777777" w:rsidR="003A2ED7" w:rsidRDefault="00D31E6B" w:rsidP="00D31E6B">
      <w:pPr>
        <w:pStyle w:val="Title"/>
      </w:pPr>
      <w:r>
        <w:t>Agenda – VCF Pull Request #231</w:t>
      </w:r>
      <w:r w:rsidR="00C47EEC">
        <w:t xml:space="preserve"> Video Call</w:t>
      </w:r>
    </w:p>
    <w:p w14:paraId="08EB5B16" w14:textId="77777777" w:rsidR="00D31E6B" w:rsidRDefault="00D31E6B" w:rsidP="00D31E6B"/>
    <w:p w14:paraId="4812155C" w14:textId="77777777" w:rsidR="00D31E6B" w:rsidRDefault="00D31E6B" w:rsidP="00D31E6B">
      <w:pPr>
        <w:pStyle w:val="Heading1"/>
      </w:pPr>
      <w:bookmarkStart w:id="0" w:name="_Toc494093977"/>
      <w:r>
        <w:t>Date:</w:t>
      </w:r>
      <w:bookmarkEnd w:id="0"/>
    </w:p>
    <w:p w14:paraId="78CA575D" w14:textId="77777777" w:rsidR="00D31E6B" w:rsidRDefault="00D31E6B" w:rsidP="00B83EDB">
      <w:pPr>
        <w:ind w:left="720"/>
      </w:pPr>
      <w:r w:rsidRPr="00D31E6B">
        <w:t>27 September, 2017</w:t>
      </w:r>
    </w:p>
    <w:p w14:paraId="05868F0A" w14:textId="77777777" w:rsidR="00D31E6B" w:rsidRDefault="00D31E6B" w:rsidP="00D31E6B">
      <w:pPr>
        <w:pStyle w:val="Heading1"/>
      </w:pPr>
      <w:bookmarkStart w:id="1" w:name="_Toc494093978"/>
      <w:r>
        <w:t>Attendees:</w:t>
      </w:r>
      <w:bookmarkEnd w:id="1"/>
    </w:p>
    <w:p w14:paraId="50AEDF68" w14:textId="77777777" w:rsidR="002673FF" w:rsidRPr="002673FF" w:rsidRDefault="002673FF" w:rsidP="002673FF">
      <w:bookmarkStart w:id="2" w:name="_GoBack"/>
      <w:bookmarkEnd w:id="2"/>
    </w:p>
    <w:p w14:paraId="30558B6C" w14:textId="465504C9" w:rsidR="004354B8" w:rsidRDefault="004354B8" w:rsidP="00B83EDB">
      <w:pPr>
        <w:ind w:left="720"/>
        <w:rPr>
          <w:rFonts w:ascii="Calibri" w:eastAsia="Calibri" w:hAnsi="Calibri" w:cs="Calibri"/>
        </w:rPr>
      </w:pPr>
      <w:r w:rsidRPr="00496AE1">
        <w:rPr>
          <w:rFonts w:ascii="Calibri" w:eastAsia="Calibri" w:hAnsi="Calibri" w:cs="Calibri"/>
          <w:b/>
          <w:color w:val="000000" w:themeColor="text1"/>
        </w:rPr>
        <w:t>@d-cameron</w:t>
      </w:r>
      <w:r>
        <w:rPr>
          <w:rFonts w:ascii="Calibri" w:eastAsia="Calibri" w:hAnsi="Calibri" w:cs="Calibri"/>
        </w:rPr>
        <w:t xml:space="preserve"> (David Cameron)</w:t>
      </w:r>
    </w:p>
    <w:p w14:paraId="5CD2684D" w14:textId="77777777" w:rsidR="004354B8" w:rsidRDefault="004354B8" w:rsidP="00B83EDB">
      <w:pPr>
        <w:ind w:left="720"/>
        <w:rPr>
          <w:rFonts w:ascii="Calibri" w:eastAsia="Calibri" w:hAnsi="Calibri" w:cs="Calibri"/>
        </w:rPr>
      </w:pPr>
      <w:r w:rsidRPr="00496AE1">
        <w:rPr>
          <w:rFonts w:ascii="Calibri" w:eastAsia="Calibri" w:hAnsi="Calibri" w:cs="Calibri"/>
          <w:b/>
          <w:color w:val="000000" w:themeColor="text1"/>
        </w:rPr>
        <w:t>@Shuang-broad</w:t>
      </w:r>
      <w:r>
        <w:rPr>
          <w:rFonts w:ascii="Calibri" w:eastAsia="Calibri" w:hAnsi="Calibri" w:cs="Calibri"/>
        </w:rPr>
        <w:t xml:space="preserve"> (Steve Huang)</w:t>
      </w:r>
    </w:p>
    <w:p w14:paraId="0EF84969" w14:textId="77777777" w:rsidR="004354B8" w:rsidRDefault="004354B8" w:rsidP="00B83EDB">
      <w:pPr>
        <w:ind w:left="720"/>
        <w:rPr>
          <w:rFonts w:ascii="Calibri" w:eastAsia="Calibri" w:hAnsi="Calibri" w:cs="Calibri"/>
        </w:rPr>
      </w:pPr>
      <w:r w:rsidRPr="00496AE1">
        <w:rPr>
          <w:rFonts w:ascii="Calibri" w:eastAsia="Calibri" w:hAnsi="Calibri" w:cs="Calibri"/>
          <w:b/>
        </w:rPr>
        <w:t>@cyenyxe</w:t>
      </w:r>
      <w:r>
        <w:rPr>
          <w:rFonts w:ascii="Calibri" w:eastAsia="Calibri" w:hAnsi="Calibri" w:cs="Calibri"/>
        </w:rPr>
        <w:t xml:space="preserve"> (Cristina Yenxye Garcia)</w:t>
      </w:r>
    </w:p>
    <w:p w14:paraId="66250926" w14:textId="77777777" w:rsidR="004354B8" w:rsidRDefault="004354B8" w:rsidP="00B83EDB">
      <w:pPr>
        <w:ind w:left="720"/>
        <w:rPr>
          <w:rFonts w:ascii="Calibri" w:eastAsia="Calibri" w:hAnsi="Calibri" w:cs="Calibri"/>
        </w:rPr>
      </w:pPr>
      <w:r w:rsidRPr="00496AE1">
        <w:rPr>
          <w:rFonts w:ascii="Calibri" w:eastAsia="Calibri" w:hAnsi="Calibri" w:cs="Calibri"/>
          <w:b/>
        </w:rPr>
        <w:t>@thefferon</w:t>
      </w:r>
      <w:r>
        <w:rPr>
          <w:rFonts w:ascii="Calibri" w:eastAsia="Calibri" w:hAnsi="Calibri" w:cs="Calibri"/>
        </w:rPr>
        <w:t xml:space="preserve"> (Tim Hefferon)</w:t>
      </w:r>
    </w:p>
    <w:p w14:paraId="4EBD1243" w14:textId="467280C3" w:rsidR="004354B8" w:rsidRDefault="004354B8" w:rsidP="00B83EDB">
      <w:pPr>
        <w:ind w:left="720"/>
        <w:rPr>
          <w:rFonts w:ascii="Calibri" w:eastAsia="Calibri" w:hAnsi="Calibri" w:cs="Calibri"/>
        </w:rPr>
      </w:pPr>
      <w:r w:rsidRPr="004354B8">
        <w:rPr>
          <w:rFonts w:ascii="Calibri" w:eastAsia="Calibri" w:hAnsi="Calibri" w:cs="Calibri"/>
          <w:b/>
        </w:rPr>
        <w:t>@lopezjo</w:t>
      </w:r>
      <w:r>
        <w:rPr>
          <w:rFonts w:ascii="Calibri" w:eastAsia="Calibri" w:hAnsi="Calibri" w:cs="Calibri"/>
        </w:rPr>
        <w:t xml:space="preserve"> (John Lopez)</w:t>
      </w:r>
    </w:p>
    <w:p w14:paraId="35DCE600" w14:textId="77777777" w:rsidR="004354B8" w:rsidRDefault="004354B8" w:rsidP="00B83EDB">
      <w:pPr>
        <w:ind w:left="720"/>
        <w:rPr>
          <w:rFonts w:ascii="Calibri" w:eastAsia="Calibri" w:hAnsi="Calibri" w:cs="Calibri"/>
        </w:rPr>
      </w:pPr>
      <w:r w:rsidRPr="00496AE1">
        <w:rPr>
          <w:rFonts w:ascii="Calibri" w:eastAsia="Calibri" w:hAnsi="Calibri" w:cs="Calibri"/>
          <w:b/>
        </w:rPr>
        <w:t>@cwhelan</w:t>
      </w:r>
      <w:r>
        <w:rPr>
          <w:rFonts w:ascii="Calibri" w:eastAsia="Calibri" w:hAnsi="Calibri" w:cs="Calibri"/>
        </w:rPr>
        <w:t xml:space="preserve"> (Chris Whelan)</w:t>
      </w:r>
    </w:p>
    <w:p w14:paraId="767056C1" w14:textId="77777777" w:rsidR="004354B8" w:rsidRDefault="004354B8" w:rsidP="00B83EDB">
      <w:pPr>
        <w:ind w:left="720"/>
        <w:rPr>
          <w:rFonts w:ascii="Calibri" w:eastAsia="Calibri" w:hAnsi="Calibri" w:cs="Calibri"/>
        </w:rPr>
      </w:pPr>
      <w:r w:rsidRPr="00496AE1">
        <w:rPr>
          <w:rFonts w:ascii="Calibri" w:eastAsia="Calibri" w:hAnsi="Calibri" w:cs="Calibri"/>
          <w:b/>
        </w:rPr>
        <w:t>@xuefzhao</w:t>
      </w:r>
      <w:r>
        <w:rPr>
          <w:rFonts w:ascii="Calibri" w:eastAsia="Calibri" w:hAnsi="Calibri" w:cs="Calibri"/>
        </w:rPr>
        <w:t xml:space="preserve"> (Xuefang Zhao)</w:t>
      </w:r>
    </w:p>
    <w:p w14:paraId="4A25618B" w14:textId="77777777" w:rsidR="00D31E6B" w:rsidRDefault="00D31E6B" w:rsidP="00D31E6B"/>
    <w:p w14:paraId="27A54F7C" w14:textId="77777777" w:rsidR="00465E0F" w:rsidRDefault="00465E0F" w:rsidP="00465E0F">
      <w:pPr>
        <w:pStyle w:val="Heading1"/>
      </w:pPr>
      <w:r>
        <w:t>Goals of this call:</w:t>
      </w:r>
    </w:p>
    <w:p w14:paraId="0BE70CC2" w14:textId="77777777" w:rsidR="00465E0F" w:rsidRDefault="00465E0F" w:rsidP="00465E0F"/>
    <w:p w14:paraId="39E1379B" w14:textId="09DD548B" w:rsidR="00465E0F" w:rsidRPr="00465E0F" w:rsidRDefault="00465E0F" w:rsidP="00465E0F">
      <w:pPr>
        <w:ind w:left="720"/>
      </w:pPr>
      <w:r>
        <w:t>To achieve resolution to the issues listed in the table at the end of this agenda.</w:t>
      </w:r>
    </w:p>
    <w:p w14:paraId="77AF71AE" w14:textId="77777777" w:rsidR="0008584F" w:rsidRDefault="0008584F" w:rsidP="0008584F">
      <w:pPr>
        <w:ind w:left="720"/>
      </w:pPr>
    </w:p>
    <w:p w14:paraId="20A9066A" w14:textId="2433B256" w:rsidR="001624F0" w:rsidRDefault="00427A94" w:rsidP="00465E0F">
      <w:pPr>
        <w:pStyle w:val="Heading1"/>
      </w:pPr>
      <w:r>
        <w:t>Background</w:t>
      </w:r>
      <w:r w:rsidR="00465E0F">
        <w:t xml:space="preserve">: </w:t>
      </w:r>
    </w:p>
    <w:p w14:paraId="73F1F43D" w14:textId="77777777" w:rsidR="00465E0F" w:rsidRPr="00465E0F" w:rsidRDefault="00465E0F" w:rsidP="00465E0F"/>
    <w:p w14:paraId="1F31BA0B" w14:textId="1D82EE1C" w:rsidR="00427A94" w:rsidRDefault="00427A94" w:rsidP="00465E0F">
      <w:pPr>
        <w:ind w:left="720"/>
      </w:pPr>
      <w:r>
        <w:t xml:space="preserve">PR </w:t>
      </w:r>
      <w:r w:rsidR="00465E0F">
        <w:t xml:space="preserve">#231 </w:t>
      </w:r>
      <w:r w:rsidR="009A3C8D">
        <w:t>(</w:t>
      </w:r>
      <w:hyperlink r:id="rId5" w:history="1">
        <w:r w:rsidR="009A3C8D" w:rsidRPr="009A3C8D">
          <w:rPr>
            <w:rStyle w:val="Hyperlink"/>
          </w:rPr>
          <w:t>https://github.com/samtools/hts-specs/pull/231</w:t>
        </w:r>
      </w:hyperlink>
      <w:r w:rsidR="009A3C8D">
        <w:t xml:space="preserve">) </w:t>
      </w:r>
      <w:r>
        <w:t xml:space="preserve">was motivated by the </w:t>
      </w:r>
      <w:r w:rsidR="00543A1E">
        <w:t xml:space="preserve">observation </w:t>
      </w:r>
      <w:r w:rsidR="00465E0F">
        <w:t>that</w:t>
      </w:r>
      <w:r w:rsidR="00543B00">
        <w:t xml:space="preserve"> </w:t>
      </w:r>
      <w:r w:rsidR="00465E0F">
        <w:t xml:space="preserve">the reporting of </w:t>
      </w:r>
      <w:r w:rsidR="00543B00">
        <w:t>structural variation by different VCF authors is highly inconsistent</w:t>
      </w:r>
      <w:r w:rsidR="00853584">
        <w:t>.</w:t>
      </w:r>
      <w:r w:rsidR="00543A1E">
        <w:t xml:space="preserve"> T</w:t>
      </w:r>
      <w:r>
        <w:t xml:space="preserve">his </w:t>
      </w:r>
      <w:r w:rsidR="00853584">
        <w:t xml:space="preserve">is </w:t>
      </w:r>
      <w:r w:rsidR="00465E0F">
        <w:t xml:space="preserve">likely </w:t>
      </w:r>
      <w:r w:rsidR="00853584">
        <w:t>due, at least</w:t>
      </w:r>
      <w:r>
        <w:t xml:space="preserve"> in part</w:t>
      </w:r>
      <w:r w:rsidR="00853584">
        <w:t xml:space="preserve">, to the </w:t>
      </w:r>
      <w:r w:rsidR="00543A1E">
        <w:t xml:space="preserve">failure of the </w:t>
      </w:r>
      <w:r>
        <w:t xml:space="preserve">VCF spec </w:t>
      </w:r>
      <w:r w:rsidR="00853584">
        <w:t xml:space="preserve">to </w:t>
      </w:r>
      <w:r>
        <w:t xml:space="preserve">provide sufficient guidance </w:t>
      </w:r>
      <w:r w:rsidR="00543A1E">
        <w:t>– </w:t>
      </w:r>
      <w:r>
        <w:t xml:space="preserve">in the form of </w:t>
      </w:r>
      <w:r w:rsidR="00543A1E">
        <w:t xml:space="preserve">clear </w:t>
      </w:r>
      <w:r>
        <w:t xml:space="preserve">definitions and </w:t>
      </w:r>
      <w:r w:rsidR="00543A1E">
        <w:t xml:space="preserve">solid </w:t>
      </w:r>
      <w:r>
        <w:t>examples</w:t>
      </w:r>
      <w:r w:rsidR="00543A1E">
        <w:t xml:space="preserve"> – to </w:t>
      </w:r>
      <w:r w:rsidR="00465E0F">
        <w:t>promote</w:t>
      </w:r>
      <w:r w:rsidR="00543A1E">
        <w:t xml:space="preserve"> consistent reporting. </w:t>
      </w:r>
      <w:r w:rsidR="00465E0F">
        <w:t>A general</w:t>
      </w:r>
      <w:r w:rsidR="00543B00">
        <w:t xml:space="preserve"> disregard </w:t>
      </w:r>
      <w:r w:rsidR="00543A1E">
        <w:t xml:space="preserve">for </w:t>
      </w:r>
      <w:r w:rsidR="00465E0F">
        <w:t>the</w:t>
      </w:r>
      <w:r w:rsidR="00543A1E">
        <w:t xml:space="preserve"> spec</w:t>
      </w:r>
      <w:r w:rsidR="00543B00">
        <w:t xml:space="preserve"> instructions</w:t>
      </w:r>
      <w:r w:rsidR="00543A1E">
        <w:t xml:space="preserve"> that </w:t>
      </w:r>
      <w:r w:rsidR="00543A1E">
        <w:rPr>
          <w:i/>
        </w:rPr>
        <w:t>do</w:t>
      </w:r>
      <w:r w:rsidR="00543A1E">
        <w:t xml:space="preserve"> exist</w:t>
      </w:r>
      <w:r w:rsidR="00543B00">
        <w:t xml:space="preserve"> – especially w.r.t. REF/ALT, SVTYPE, </w:t>
      </w:r>
      <w:r w:rsidR="00853584">
        <w:t>SVLEN, etc. – </w:t>
      </w:r>
      <w:r w:rsidR="00465E0F">
        <w:t xml:space="preserve">contributes to the problem. The result is inconsistent SV reporting that </w:t>
      </w:r>
      <w:r w:rsidR="00853584">
        <w:t>confound</w:t>
      </w:r>
      <w:r w:rsidR="00465E0F">
        <w:t>s</w:t>
      </w:r>
      <w:r w:rsidR="00853584">
        <w:t xml:space="preserve"> attempt</w:t>
      </w:r>
      <w:r w:rsidR="0008584F">
        <w:t>s</w:t>
      </w:r>
      <w:r w:rsidR="00853584">
        <w:t xml:space="preserve"> </w:t>
      </w:r>
      <w:r w:rsidR="00465E0F">
        <w:t>to</w:t>
      </w:r>
      <w:r w:rsidR="00853584">
        <w:t xml:space="preserve"> consolidat</w:t>
      </w:r>
      <w:r w:rsidR="00465E0F">
        <w:t>e</w:t>
      </w:r>
      <w:r w:rsidR="00853584">
        <w:t xml:space="preserve"> </w:t>
      </w:r>
      <w:r w:rsidR="00465E0F">
        <w:t xml:space="preserve">datasets from different sources, </w:t>
      </w:r>
      <w:r w:rsidR="009A3C8D">
        <w:t xml:space="preserve">which could otherwise result in </w:t>
      </w:r>
      <w:r w:rsidR="00465E0F">
        <w:t xml:space="preserve">the fruitful exchange of data </w:t>
      </w:r>
      <w:r w:rsidR="009A3C8D">
        <w:t>to</w:t>
      </w:r>
      <w:r w:rsidR="00465E0F">
        <w:t xml:space="preserve"> the mutual benefit of all participants.</w:t>
      </w:r>
      <w:r w:rsidR="004354B8">
        <w:t xml:space="preserve"> Let’s try to improve this.</w:t>
      </w:r>
    </w:p>
    <w:p w14:paraId="4C3FC923" w14:textId="77777777" w:rsidR="000512E0" w:rsidRPr="00427A94" w:rsidRDefault="000512E0" w:rsidP="00465E0F">
      <w:pPr>
        <w:ind w:left="720"/>
      </w:pPr>
    </w:p>
    <w:p w14:paraId="51BAF74F" w14:textId="4C65678C" w:rsidR="00D31E6B" w:rsidRDefault="0008584F" w:rsidP="00C47EEC">
      <w:pPr>
        <w:pStyle w:val="Heading1"/>
      </w:pPr>
      <w:r>
        <w:t xml:space="preserve">Discussion </w:t>
      </w:r>
      <w:r w:rsidR="00C47EEC">
        <w:t>Topics</w:t>
      </w:r>
      <w:r w:rsidR="00465E0F">
        <w:t>:</w:t>
      </w:r>
    </w:p>
    <w:p w14:paraId="0E4D73F0" w14:textId="77777777" w:rsidR="00465E0F" w:rsidRDefault="00465E0F" w:rsidP="00465E0F"/>
    <w:p w14:paraId="47373C1E" w14:textId="77777777" w:rsidR="000512E0" w:rsidRDefault="000512E0" w:rsidP="000512E0">
      <w:pPr>
        <w:pStyle w:val="Heading2"/>
      </w:pPr>
      <w:r>
        <w:t>SVTYPE</w:t>
      </w:r>
    </w:p>
    <w:p w14:paraId="05812A0F" w14:textId="77777777" w:rsidR="000512E0" w:rsidRDefault="000512E0" w:rsidP="00465E0F"/>
    <w:p w14:paraId="4A7AA86F" w14:textId="5ED18709" w:rsidR="009A3C8D" w:rsidRDefault="00465E0F" w:rsidP="00465E0F">
      <w:r>
        <w:t xml:space="preserve">A central topic of PR #231 concerns the appropriate use of the SVTYPE info tag. David has suggested SVTYPE can be interpreted in </w:t>
      </w:r>
      <w:r w:rsidR="009A3C8D">
        <w:t>one of two ways:</w:t>
      </w:r>
    </w:p>
    <w:p w14:paraId="60CF31F1" w14:textId="77777777" w:rsidR="009A3C8D" w:rsidRDefault="009A3C8D" w:rsidP="00465E0F"/>
    <w:p w14:paraId="179D98C4" w14:textId="2D0A2D5B" w:rsidR="009A3C8D" w:rsidRDefault="000512E0" w:rsidP="00743295">
      <w:pPr>
        <w:pStyle w:val="ListParagraph"/>
        <w:numPr>
          <w:ilvl w:val="0"/>
          <w:numId w:val="8"/>
        </w:numPr>
      </w:pPr>
      <w:r>
        <w:t xml:space="preserve">as </w:t>
      </w:r>
      <w:r w:rsidR="009A3C8D">
        <w:t>shorthand for the equivalent BND representation of a variant</w:t>
      </w:r>
    </w:p>
    <w:p w14:paraId="694249E3" w14:textId="7A7AC975" w:rsidR="00465E0F" w:rsidRDefault="000512E0" w:rsidP="00743295">
      <w:pPr>
        <w:pStyle w:val="ListParagraph"/>
        <w:numPr>
          <w:ilvl w:val="0"/>
          <w:numId w:val="8"/>
        </w:numPr>
      </w:pPr>
      <w:r>
        <w:t xml:space="preserve">as </w:t>
      </w:r>
      <w:r w:rsidR="009A3C8D">
        <w:t>an assertion about the type of biological event that produced a variant</w:t>
      </w:r>
    </w:p>
    <w:p w14:paraId="495E7023" w14:textId="77777777" w:rsidR="009A3C8D" w:rsidRDefault="009A3C8D" w:rsidP="009A3C8D"/>
    <w:p w14:paraId="26CFCDB7" w14:textId="4C2D8077" w:rsidR="009A3C8D" w:rsidRPr="001D4877" w:rsidRDefault="009A3C8D" w:rsidP="009A3C8D">
      <w:pPr>
        <w:rPr>
          <w:i/>
        </w:rPr>
      </w:pPr>
      <w:r>
        <w:t xml:space="preserve">Which of </w:t>
      </w:r>
      <w:r w:rsidR="000512E0">
        <w:t>interpretation</w:t>
      </w:r>
      <w:r>
        <w:t xml:space="preserve"> is </w:t>
      </w:r>
      <w:r w:rsidR="000512E0">
        <w:t>used</w:t>
      </w:r>
      <w:r>
        <w:t xml:space="preserve"> has implications for the VCF spec. David has been asked to give a brief explanation of the first interpretation.</w:t>
      </w:r>
      <w:r w:rsidR="001D4877">
        <w:t xml:space="preserve"> </w:t>
      </w:r>
      <w:r w:rsidR="001D4877">
        <w:rPr>
          <w:i/>
        </w:rPr>
        <w:t>(David)</w:t>
      </w:r>
    </w:p>
    <w:p w14:paraId="0CAE7E33" w14:textId="77777777" w:rsidR="00C47EEC" w:rsidRDefault="00C47EEC" w:rsidP="00C47EEC"/>
    <w:p w14:paraId="409EDD00" w14:textId="77777777" w:rsidR="001624F0" w:rsidRDefault="001624F0" w:rsidP="001624F0">
      <w:pPr>
        <w:pStyle w:val="ListParagraph"/>
        <w:numPr>
          <w:ilvl w:val="0"/>
          <w:numId w:val="2"/>
        </w:numPr>
      </w:pPr>
      <w:r>
        <w:t>SVTYPE – Are SVTYPE values intended as shorthand for equivalent BND representations (Interpretation #1) or as indications of the types of biological events that produced the variant</w:t>
      </w:r>
      <w:r w:rsidR="00853584">
        <w:t xml:space="preserve"> (Interpretation #2)</w:t>
      </w:r>
      <w:r>
        <w:t>?</w:t>
      </w:r>
    </w:p>
    <w:p w14:paraId="299127C9" w14:textId="77777777" w:rsidR="001624F0" w:rsidRDefault="001624F0" w:rsidP="001624F0">
      <w:pPr>
        <w:pStyle w:val="ListParagraph"/>
        <w:numPr>
          <w:ilvl w:val="0"/>
          <w:numId w:val="2"/>
        </w:numPr>
      </w:pPr>
      <w:r>
        <w:t>Is BND an SVTYPE, or is it something different?</w:t>
      </w:r>
      <w:r w:rsidR="00853584">
        <w:t xml:space="preserve"> Does it belong in the list?</w:t>
      </w:r>
    </w:p>
    <w:p w14:paraId="40B01B3E" w14:textId="77777777" w:rsidR="001624F0" w:rsidRDefault="00427A94" w:rsidP="001624F0">
      <w:pPr>
        <w:pStyle w:val="ListParagraph"/>
        <w:numPr>
          <w:ilvl w:val="0"/>
          <w:numId w:val="2"/>
        </w:numPr>
      </w:pPr>
      <w:r>
        <w:t>Current values include: DEL, INS, DUP, INV, CNV</w:t>
      </w:r>
    </w:p>
    <w:p w14:paraId="3F11EF77" w14:textId="77777777" w:rsidR="00427A94" w:rsidRDefault="00427A94" w:rsidP="00427A94">
      <w:pPr>
        <w:pStyle w:val="ListParagraph"/>
        <w:numPr>
          <w:ilvl w:val="1"/>
          <w:numId w:val="2"/>
        </w:numPr>
      </w:pPr>
      <w:r>
        <w:t>what about deletion-insertions? do we need to add RPL to the list?</w:t>
      </w:r>
    </w:p>
    <w:p w14:paraId="2E1C8F2F" w14:textId="7DF4BF22" w:rsidR="00427A94" w:rsidRDefault="00427A94" w:rsidP="00427A94">
      <w:pPr>
        <w:pStyle w:val="ListParagraph"/>
        <w:numPr>
          <w:ilvl w:val="1"/>
          <w:numId w:val="2"/>
        </w:numPr>
      </w:pPr>
      <w:r>
        <w:t>how will translocations be represented</w:t>
      </w:r>
      <w:r w:rsidR="000512E0">
        <w:t>,</w:t>
      </w:r>
      <w:r w:rsidR="00853584">
        <w:t xml:space="preserve"> </w:t>
      </w:r>
      <w:r w:rsidR="000512E0">
        <w:t>i</w:t>
      </w:r>
      <w:r w:rsidR="00853584">
        <w:t>n light of #2</w:t>
      </w:r>
      <w:r>
        <w:t>?</w:t>
      </w:r>
    </w:p>
    <w:p w14:paraId="18ADC795" w14:textId="06671EEE" w:rsidR="00427A94" w:rsidRPr="001624F0" w:rsidRDefault="00427A94" w:rsidP="00427A94">
      <w:pPr>
        <w:pStyle w:val="ListParagraph"/>
        <w:numPr>
          <w:ilvl w:val="0"/>
          <w:numId w:val="2"/>
        </w:numPr>
      </w:pPr>
      <w:r>
        <w:t xml:space="preserve">Proposal </w:t>
      </w:r>
      <w:r w:rsidR="000512E0">
        <w:t>to be considered:</w:t>
      </w:r>
      <w:r>
        <w:t xml:space="preserve"> </w:t>
      </w:r>
      <w:r w:rsidR="000512E0">
        <w:t xml:space="preserve">Since SVTYPE </w:t>
      </w:r>
      <w:r>
        <w:t>is redundant with REF/ALT</w:t>
      </w:r>
      <w:r w:rsidR="000512E0">
        <w:t>,</w:t>
      </w:r>
      <w:r>
        <w:t xml:space="preserve"> </w:t>
      </w:r>
      <w:r w:rsidR="000512E0">
        <w:t>d</w:t>
      </w:r>
      <w:r>
        <w:t>eprecate SVTYPE</w:t>
      </w:r>
      <w:r w:rsidR="000512E0">
        <w:t>,</w:t>
      </w:r>
      <w:r w:rsidR="00853584">
        <w:t xml:space="preserve"> and </w:t>
      </w:r>
      <w:r w:rsidR="000512E0">
        <w:t xml:space="preserve">us another INFO tag (such as SVCLASS, EVENTTYPE, etc.) to serve the needs of those who subscribe to </w:t>
      </w:r>
      <w:r>
        <w:t>SVTYPE Interpretation #</w:t>
      </w:r>
      <w:r w:rsidR="000512E0">
        <w:t>2.</w:t>
      </w:r>
    </w:p>
    <w:p w14:paraId="505AA96F" w14:textId="77777777" w:rsidR="00C47EEC" w:rsidRDefault="00C47EEC" w:rsidP="00C47EEC"/>
    <w:p w14:paraId="4122F6F8" w14:textId="3D1A5086" w:rsidR="00C47EEC" w:rsidRPr="00C47EEC" w:rsidRDefault="00C47EEC" w:rsidP="00C47EEC">
      <w:pPr>
        <w:pStyle w:val="Heading2"/>
      </w:pPr>
      <w:r>
        <w:t>BND</w:t>
      </w:r>
      <w:r w:rsidR="000512E0">
        <w:t>/TRA</w:t>
      </w:r>
    </w:p>
    <w:p w14:paraId="7569544B" w14:textId="5A61A2C8" w:rsidR="00C47EEC" w:rsidRDefault="009A3C8D" w:rsidP="00543A1E">
      <w:pPr>
        <w:ind w:left="720"/>
      </w:pPr>
      <w:r>
        <w:t>(Any details which have</w:t>
      </w:r>
      <w:r w:rsidR="00543A1E">
        <w:t xml:space="preserve"> not already </w:t>
      </w:r>
      <w:r>
        <w:t>been addressed by discussion above)</w:t>
      </w:r>
    </w:p>
    <w:p w14:paraId="64D3B708" w14:textId="77777777" w:rsidR="00C47EEC" w:rsidRDefault="00C47EEC" w:rsidP="00C47EEC"/>
    <w:p w14:paraId="29219C6D" w14:textId="77777777" w:rsidR="00C47EEC" w:rsidRDefault="00C47EEC" w:rsidP="00C47EEC">
      <w:pPr>
        <w:pStyle w:val="Heading2"/>
      </w:pPr>
      <w:r>
        <w:t>IMPRECISE</w:t>
      </w:r>
    </w:p>
    <w:p w14:paraId="097AD85E" w14:textId="77777777" w:rsidR="00853584" w:rsidRDefault="00853584" w:rsidP="00853584"/>
    <w:p w14:paraId="48CB4EA9" w14:textId="27365F3B" w:rsidR="00543A1E" w:rsidRDefault="009A3C8D" w:rsidP="00543A1E">
      <w:pPr>
        <w:ind w:left="720"/>
      </w:pPr>
      <w:r>
        <w:t xml:space="preserve">Tim </w:t>
      </w:r>
      <w:r w:rsidR="00280964">
        <w:t xml:space="preserve">originally </w:t>
      </w:r>
      <w:r w:rsidR="00853584">
        <w:t xml:space="preserve">proposed the IMPRECISE tag </w:t>
      </w:r>
      <w:r>
        <w:t xml:space="preserve">could </w:t>
      </w:r>
      <w:r w:rsidR="00853584">
        <w:t xml:space="preserve">be deprecated, </w:t>
      </w:r>
      <w:r>
        <w:t xml:space="preserve">in part because it remains undefined in the spec, in part because one could assert it is </w:t>
      </w:r>
      <w:r w:rsidR="00853584">
        <w:t>redundan</w:t>
      </w:r>
      <w:r>
        <w:t>t</w:t>
      </w:r>
      <w:r w:rsidR="00853584">
        <w:t xml:space="preserve"> with CIPOS and CIEND. However, </w:t>
      </w:r>
      <w:r w:rsidR="00280964">
        <w:t>subsequent</w:t>
      </w:r>
      <w:r w:rsidR="00853584">
        <w:t xml:space="preserve"> discussion largely justified the usefulness of </w:t>
      </w:r>
      <w:r>
        <w:t>keeping the IMPRECISE tag,</w:t>
      </w:r>
      <w:r w:rsidR="00853584">
        <w:t> namely as a way of distinguishing between</w:t>
      </w:r>
      <w:r w:rsidR="00280964">
        <w:t xml:space="preserve"> calls</w:t>
      </w:r>
      <w:r w:rsidR="00543A1E">
        <w:t>:</w:t>
      </w:r>
    </w:p>
    <w:p w14:paraId="3A95924B" w14:textId="77777777" w:rsidR="00280964" w:rsidRDefault="00280964" w:rsidP="00543A1E">
      <w:pPr>
        <w:ind w:left="720"/>
      </w:pPr>
    </w:p>
    <w:p w14:paraId="171A2C7A" w14:textId="42929A1C" w:rsidR="00543A1E" w:rsidRDefault="000E6ABF" w:rsidP="00543A1E">
      <w:pPr>
        <w:pStyle w:val="ListParagraph"/>
        <w:numPr>
          <w:ilvl w:val="0"/>
          <w:numId w:val="6"/>
        </w:numPr>
      </w:pPr>
      <w:r>
        <w:t xml:space="preserve">which </w:t>
      </w:r>
      <w:r w:rsidR="00853584">
        <w:t>cannot be precisely placed despite complete sequence coverage</w:t>
      </w:r>
    </w:p>
    <w:p w14:paraId="62290701" w14:textId="77120695" w:rsidR="00543A1E" w:rsidRDefault="00853584" w:rsidP="00543A1E">
      <w:pPr>
        <w:pStyle w:val="ListParagraph"/>
        <w:numPr>
          <w:ilvl w:val="0"/>
          <w:numId w:val="6"/>
        </w:numPr>
      </w:pPr>
      <w:r>
        <w:t xml:space="preserve">whose breakpoints cannot be precisely </w:t>
      </w:r>
      <w:r w:rsidR="00543A1E">
        <w:t>determined</w:t>
      </w:r>
      <w:r>
        <w:t xml:space="preserve"> due to lack of sequence coverage</w:t>
      </w:r>
      <w:r w:rsidR="00543A1E">
        <w:t xml:space="preserve"> (e.g., paired-end)</w:t>
      </w:r>
    </w:p>
    <w:p w14:paraId="5AFEA487" w14:textId="02F53B19" w:rsidR="00853584" w:rsidRDefault="00543A1E" w:rsidP="00543A1E">
      <w:pPr>
        <w:pStyle w:val="ListParagraph"/>
        <w:numPr>
          <w:ilvl w:val="0"/>
          <w:numId w:val="6"/>
        </w:numPr>
      </w:pPr>
      <w:r>
        <w:t xml:space="preserve">whose exact breakpoints are known, but </w:t>
      </w:r>
      <w:r w:rsidR="0008584F">
        <w:t xml:space="preserve">whose </w:t>
      </w:r>
      <w:r>
        <w:t>full sequence content</w:t>
      </w:r>
      <w:r w:rsidR="00853584">
        <w:t xml:space="preserve"> </w:t>
      </w:r>
      <w:r>
        <w:t>and size are not known (e.g., split-read)</w:t>
      </w:r>
    </w:p>
    <w:p w14:paraId="75FAAFD9" w14:textId="77777777" w:rsidR="00853584" w:rsidRDefault="00853584" w:rsidP="00853584">
      <w:pPr>
        <w:ind w:left="720"/>
      </w:pPr>
    </w:p>
    <w:p w14:paraId="2D390BBF" w14:textId="73BCD087" w:rsidR="00853584" w:rsidRPr="000E6ABF" w:rsidRDefault="00853584" w:rsidP="00853584">
      <w:pPr>
        <w:ind w:left="720"/>
        <w:rPr>
          <w:i/>
        </w:rPr>
      </w:pPr>
      <w:r>
        <w:t>Proposal: The IMPRECISE tag</w:t>
      </w:r>
      <w:r w:rsidR="000E6ABF">
        <w:t xml:space="preserve"> </w:t>
      </w:r>
      <w:r>
        <w:t xml:space="preserve">and its intended usage </w:t>
      </w:r>
      <w:r w:rsidR="0008584F">
        <w:t>must</w:t>
      </w:r>
      <w:r>
        <w:t xml:space="preserve"> be carefully spelled out in the spec</w:t>
      </w:r>
      <w:r w:rsidR="000E6ABF">
        <w:t>,</w:t>
      </w:r>
      <w:r>
        <w:t xml:space="preserve"> so there is no ambiguity in its intended usage. </w:t>
      </w:r>
      <w:r w:rsidR="000E6ABF" w:rsidRPr="000E6ABF">
        <w:rPr>
          <w:i/>
        </w:rPr>
        <w:t>(Tim n</w:t>
      </w:r>
      <w:r w:rsidR="0008584F" w:rsidRPr="000E6ABF">
        <w:rPr>
          <w:i/>
        </w:rPr>
        <w:t>ominate</w:t>
      </w:r>
      <w:r w:rsidR="000E6ABF" w:rsidRPr="000E6ABF">
        <w:rPr>
          <w:i/>
        </w:rPr>
        <w:t>s</w:t>
      </w:r>
      <w:r w:rsidRPr="000E6ABF">
        <w:rPr>
          <w:i/>
        </w:rPr>
        <w:t xml:space="preserve"> </w:t>
      </w:r>
      <w:r w:rsidR="000E6ABF" w:rsidRPr="000E6ABF">
        <w:rPr>
          <w:i/>
        </w:rPr>
        <w:t xml:space="preserve">David </w:t>
      </w:r>
      <w:r w:rsidR="0008584F" w:rsidRPr="000E6ABF">
        <w:rPr>
          <w:i/>
        </w:rPr>
        <w:t xml:space="preserve">to </w:t>
      </w:r>
      <w:r w:rsidRPr="000E6ABF">
        <w:rPr>
          <w:i/>
        </w:rPr>
        <w:t xml:space="preserve">write </w:t>
      </w:r>
      <w:r w:rsidR="000E6ABF" w:rsidRPr="000E6ABF">
        <w:rPr>
          <w:i/>
        </w:rPr>
        <w:t xml:space="preserve">up </w:t>
      </w:r>
      <w:r w:rsidRPr="000E6ABF">
        <w:rPr>
          <w:i/>
        </w:rPr>
        <w:t>this addition to the spec.</w:t>
      </w:r>
      <w:r w:rsidR="000E6ABF" w:rsidRPr="000E6ABF">
        <w:rPr>
          <w:i/>
        </w:rPr>
        <w:t>)</w:t>
      </w:r>
    </w:p>
    <w:p w14:paraId="0084783B" w14:textId="77777777" w:rsidR="00C47EEC" w:rsidRDefault="00C47EEC" w:rsidP="00C47EEC"/>
    <w:p w14:paraId="75051ABD" w14:textId="2E5FDDAA" w:rsidR="00C47EEC" w:rsidRDefault="00C47EEC" w:rsidP="00C47EEC">
      <w:pPr>
        <w:pStyle w:val="Heading2"/>
      </w:pPr>
      <w:r>
        <w:t>CIPOS, CIEND</w:t>
      </w:r>
      <w:r w:rsidR="00177DF0">
        <w:t>, CIVALUE, and “hard boundaries”</w:t>
      </w:r>
    </w:p>
    <w:p w14:paraId="5FDFC46A" w14:textId="77777777" w:rsidR="00C47EEC" w:rsidRDefault="00C47EEC" w:rsidP="00C47EEC"/>
    <w:p w14:paraId="267EF059" w14:textId="17E9380F" w:rsidR="00280964" w:rsidRDefault="000512E0" w:rsidP="00280964">
      <w:pPr>
        <w:ind w:left="720"/>
      </w:pPr>
      <w:r>
        <w:t>‘</w:t>
      </w:r>
      <w:r w:rsidR="000E6ABF">
        <w:t>CIPOS</w:t>
      </w:r>
      <w:r>
        <w:t>’</w:t>
      </w:r>
      <w:r w:rsidR="000E6ABF">
        <w:t xml:space="preserve"> and </w:t>
      </w:r>
      <w:r>
        <w:t>‘</w:t>
      </w:r>
      <w:r w:rsidR="000E6ABF">
        <w:t>CIEND</w:t>
      </w:r>
      <w:r>
        <w:t>’</w:t>
      </w:r>
      <w:r w:rsidR="000E6ABF">
        <w:t xml:space="preserve"> are defined in the spec as follows:</w:t>
      </w:r>
    </w:p>
    <w:p w14:paraId="6EB11101" w14:textId="77777777" w:rsidR="00C50E99" w:rsidRDefault="00C50E99" w:rsidP="00280964">
      <w:pPr>
        <w:ind w:left="720"/>
      </w:pPr>
    </w:p>
    <w:p w14:paraId="2645025E" w14:textId="09C9D4F0" w:rsidR="00C50E99" w:rsidRPr="00C50E99" w:rsidRDefault="00C50E99" w:rsidP="00C50E99">
      <w:pPr>
        <w:ind w:left="720"/>
        <w:rPr>
          <w:rFonts w:ascii="Courier" w:hAnsi="Courier"/>
          <w:sz w:val="18"/>
          <w:szCs w:val="18"/>
        </w:rPr>
      </w:pPr>
      <w:r w:rsidRPr="00C50E99">
        <w:rPr>
          <w:rFonts w:ascii="Courier" w:hAnsi="Courier"/>
          <w:sz w:val="18"/>
          <w:szCs w:val="18"/>
        </w:rPr>
        <w:t>CIPOS</w:t>
      </w:r>
      <w:r>
        <w:rPr>
          <w:rFonts w:ascii="Courier" w:hAnsi="Courier"/>
          <w:sz w:val="18"/>
          <w:szCs w:val="18"/>
        </w:rPr>
        <w:t xml:space="preserve">: </w:t>
      </w:r>
      <w:r w:rsidRPr="00C50E99">
        <w:rPr>
          <w:rFonts w:ascii="Courier" w:hAnsi="Courier"/>
          <w:sz w:val="18"/>
          <w:szCs w:val="18"/>
        </w:rPr>
        <w:t>Confidence interval aro</w:t>
      </w:r>
      <w:r>
        <w:rPr>
          <w:rFonts w:ascii="Courier" w:hAnsi="Courier"/>
          <w:sz w:val="18"/>
          <w:szCs w:val="18"/>
        </w:rPr>
        <w:t>und POS for imprecise variants</w:t>
      </w:r>
    </w:p>
    <w:p w14:paraId="4078A079" w14:textId="17BF8A0C" w:rsidR="00C50E99" w:rsidRPr="00C50E99" w:rsidRDefault="00C50E99" w:rsidP="00C50E99">
      <w:pPr>
        <w:ind w:left="720"/>
        <w:rPr>
          <w:rFonts w:ascii="Courier" w:hAnsi="Courier"/>
          <w:sz w:val="18"/>
          <w:szCs w:val="18"/>
        </w:rPr>
      </w:pPr>
      <w:r w:rsidRPr="00C50E99">
        <w:rPr>
          <w:rFonts w:ascii="Courier" w:hAnsi="Courier"/>
          <w:sz w:val="18"/>
          <w:szCs w:val="18"/>
        </w:rPr>
        <w:t>CIEND</w:t>
      </w:r>
      <w:r>
        <w:rPr>
          <w:rFonts w:ascii="Courier" w:hAnsi="Courier"/>
          <w:sz w:val="18"/>
          <w:szCs w:val="18"/>
        </w:rPr>
        <w:t xml:space="preserve">: </w:t>
      </w:r>
      <w:r w:rsidRPr="00C50E99">
        <w:rPr>
          <w:rFonts w:ascii="Courier" w:hAnsi="Courier"/>
          <w:sz w:val="18"/>
          <w:szCs w:val="18"/>
        </w:rPr>
        <w:t>Confidence interval aro</w:t>
      </w:r>
      <w:r>
        <w:rPr>
          <w:rFonts w:ascii="Courier" w:hAnsi="Courier"/>
          <w:sz w:val="18"/>
          <w:szCs w:val="18"/>
        </w:rPr>
        <w:t>und END for imprecise variants</w:t>
      </w:r>
    </w:p>
    <w:p w14:paraId="40BA10E6" w14:textId="77777777" w:rsidR="00C50E99" w:rsidRDefault="00C50E99" w:rsidP="00280964">
      <w:pPr>
        <w:ind w:left="720"/>
      </w:pPr>
    </w:p>
    <w:p w14:paraId="2A1FB82A" w14:textId="7AB2EB95" w:rsidR="00C50E99" w:rsidRDefault="00C50E99" w:rsidP="00280964">
      <w:pPr>
        <w:ind w:left="720"/>
      </w:pPr>
      <w:r>
        <w:t>However the spec provides no definition of “confidence interval”</w:t>
      </w:r>
      <w:r w:rsidR="001D4877">
        <w:t xml:space="preserve">, nor does it provide </w:t>
      </w:r>
      <w:r w:rsidR="000512E0">
        <w:t>solid</w:t>
      </w:r>
      <w:r w:rsidR="001D4877">
        <w:t xml:space="preserve"> examples </w:t>
      </w:r>
      <w:r w:rsidR="000512E0">
        <w:t>that</w:t>
      </w:r>
      <w:r w:rsidR="001D4877">
        <w:t xml:space="preserve"> clarify usage of CIPOS and CIEND, </w:t>
      </w:r>
      <w:r w:rsidR="000512E0">
        <w:t>so</w:t>
      </w:r>
      <w:r w:rsidR="001D4877">
        <w:t xml:space="preserve"> that everyone </w:t>
      </w:r>
      <w:r w:rsidR="000512E0">
        <w:t>who encounters them in SV VCF</w:t>
      </w:r>
      <w:r w:rsidR="001D4877">
        <w:t xml:space="preserve"> understands exactly how </w:t>
      </w:r>
      <w:r w:rsidR="000512E0">
        <w:t>they</w:t>
      </w:r>
      <w:r w:rsidR="001D4877">
        <w:t xml:space="preserve"> ought to be.</w:t>
      </w:r>
    </w:p>
    <w:p w14:paraId="35900A22" w14:textId="77777777" w:rsidR="000512E0" w:rsidRDefault="000512E0" w:rsidP="00280964">
      <w:pPr>
        <w:ind w:left="720"/>
      </w:pPr>
    </w:p>
    <w:p w14:paraId="71E191F1" w14:textId="3CD683A5" w:rsidR="000512E0" w:rsidRDefault="000512E0" w:rsidP="00280964">
      <w:pPr>
        <w:ind w:left="720"/>
      </w:pPr>
      <w:r>
        <w:t>The PR introduces the tag ‘CIVALUE’:</w:t>
      </w:r>
    </w:p>
    <w:p w14:paraId="3D04A518" w14:textId="77777777" w:rsidR="000512E0" w:rsidRDefault="000512E0" w:rsidP="00280964">
      <w:pPr>
        <w:ind w:left="720"/>
      </w:pPr>
    </w:p>
    <w:p w14:paraId="67ADFFA6" w14:textId="147B7F0C" w:rsidR="000512E0" w:rsidRPr="00C50E99" w:rsidRDefault="000512E0" w:rsidP="000512E0">
      <w:pPr>
        <w:ind w:left="720"/>
        <w:rPr>
          <w:rFonts w:ascii="Courier" w:hAnsi="Courier"/>
          <w:sz w:val="18"/>
          <w:szCs w:val="18"/>
        </w:rPr>
      </w:pPr>
      <w:r w:rsidRPr="00C50E99">
        <w:rPr>
          <w:rFonts w:ascii="Courier" w:hAnsi="Courier"/>
          <w:sz w:val="18"/>
          <w:szCs w:val="18"/>
        </w:rPr>
        <w:t>CI</w:t>
      </w:r>
      <w:r>
        <w:rPr>
          <w:rFonts w:ascii="Courier" w:hAnsi="Courier"/>
          <w:sz w:val="18"/>
          <w:szCs w:val="18"/>
        </w:rPr>
        <w:t xml:space="preserve">VALUE: </w:t>
      </w:r>
      <w:r w:rsidRPr="000512E0">
        <w:rPr>
          <w:rFonts w:ascii="Courier" w:hAnsi="Courier"/>
          <w:sz w:val="18"/>
          <w:szCs w:val="18"/>
        </w:rPr>
        <w:t>Degree of certainty expressed by</w:t>
      </w:r>
      <w:r>
        <w:rPr>
          <w:rFonts w:ascii="Courier" w:hAnsi="Courier"/>
          <w:sz w:val="18"/>
          <w:szCs w:val="18"/>
        </w:rPr>
        <w:t xml:space="preserve"> CIPOS/CIEND: ‘1’ indicates 100</w:t>
      </w:r>
      <w:r w:rsidRPr="000512E0">
        <w:rPr>
          <w:rFonts w:ascii="Courier" w:hAnsi="Courier"/>
          <w:sz w:val="18"/>
          <w:szCs w:val="18"/>
        </w:rPr>
        <w:t>% certainty that a breakpoint falls within confidence interval; default value is ‘0.95’</w:t>
      </w:r>
    </w:p>
    <w:p w14:paraId="763E6E32" w14:textId="77777777" w:rsidR="000512E0" w:rsidRDefault="000512E0" w:rsidP="00280964">
      <w:pPr>
        <w:ind w:left="720"/>
      </w:pPr>
    </w:p>
    <w:p w14:paraId="3A1ABB1F" w14:textId="71AB6F08" w:rsidR="00177DF0" w:rsidRDefault="00177DF0" w:rsidP="00280964">
      <w:pPr>
        <w:ind w:left="720"/>
      </w:pPr>
      <w:r>
        <w:t>Another possible improvement has been observed in the form of revised definitions:</w:t>
      </w:r>
    </w:p>
    <w:p w14:paraId="3A4B3134" w14:textId="77777777" w:rsidR="00177DF0" w:rsidRDefault="00177DF0" w:rsidP="00280964">
      <w:pPr>
        <w:ind w:left="720"/>
      </w:pPr>
    </w:p>
    <w:p w14:paraId="7220D227" w14:textId="6F63CBF2" w:rsidR="00177DF0" w:rsidRPr="00C50E99" w:rsidRDefault="00177DF0" w:rsidP="00177DF0">
      <w:pPr>
        <w:ind w:left="720"/>
        <w:rPr>
          <w:rFonts w:ascii="Courier" w:hAnsi="Courier"/>
          <w:sz w:val="18"/>
          <w:szCs w:val="18"/>
        </w:rPr>
      </w:pPr>
      <w:r w:rsidRPr="00C50E99">
        <w:rPr>
          <w:rFonts w:ascii="Courier" w:hAnsi="Courier"/>
          <w:sz w:val="18"/>
          <w:szCs w:val="18"/>
        </w:rPr>
        <w:t>CIPOS</w:t>
      </w:r>
      <w:r>
        <w:rPr>
          <w:rFonts w:ascii="Courier" w:hAnsi="Courier"/>
          <w:sz w:val="18"/>
          <w:szCs w:val="18"/>
        </w:rPr>
        <w:t xml:space="preserve">: </w:t>
      </w:r>
      <w:r w:rsidR="0092559F" w:rsidRPr="0092559F">
        <w:rPr>
          <w:rFonts w:ascii="Courier" w:hAnsi="Courier"/>
          <w:sz w:val="18"/>
          <w:szCs w:val="18"/>
        </w:rPr>
        <w:t>Confidence interval of the start position listed as the distance to the inner left side breakpoint</w:t>
      </w:r>
    </w:p>
    <w:p w14:paraId="6A611D56" w14:textId="2AAF6BC6" w:rsidR="0092559F" w:rsidRDefault="00177DF0" w:rsidP="0092559F">
      <w:pPr>
        <w:ind w:left="720"/>
        <w:rPr>
          <w:rFonts w:ascii="Courier" w:hAnsi="Courier"/>
          <w:sz w:val="18"/>
          <w:szCs w:val="18"/>
        </w:rPr>
      </w:pPr>
      <w:r w:rsidRPr="00C50E99">
        <w:rPr>
          <w:rFonts w:ascii="Courier" w:hAnsi="Courier"/>
          <w:sz w:val="18"/>
          <w:szCs w:val="18"/>
        </w:rPr>
        <w:t>CIEND</w:t>
      </w:r>
      <w:r>
        <w:rPr>
          <w:rFonts w:ascii="Courier" w:hAnsi="Courier"/>
          <w:sz w:val="18"/>
          <w:szCs w:val="18"/>
        </w:rPr>
        <w:t xml:space="preserve">: </w:t>
      </w:r>
      <w:r w:rsidR="0092559F" w:rsidRPr="0092559F">
        <w:rPr>
          <w:rFonts w:ascii="Courier" w:hAnsi="Courier"/>
          <w:sz w:val="18"/>
          <w:szCs w:val="18"/>
        </w:rPr>
        <w:t>Confidence interval of the end position listed as the distance to the inner right side breakpoint</w:t>
      </w:r>
    </w:p>
    <w:p w14:paraId="40FAB695" w14:textId="77777777" w:rsidR="0092559F" w:rsidRDefault="0092559F" w:rsidP="0092559F">
      <w:pPr>
        <w:ind w:left="720"/>
      </w:pPr>
    </w:p>
    <w:p w14:paraId="26C64440" w14:textId="547F66F9" w:rsidR="0092559F" w:rsidRPr="00C50E99" w:rsidRDefault="0092559F" w:rsidP="0092559F">
      <w:pPr>
        <w:ind w:left="720"/>
        <w:rPr>
          <w:rFonts w:ascii="Courier" w:hAnsi="Courier"/>
          <w:sz w:val="18"/>
          <w:szCs w:val="18"/>
        </w:rPr>
      </w:pPr>
      <w:r>
        <w:t>Associated variants would then use a value of ‘1’ wherever a hard boundary is indicated.</w:t>
      </w:r>
    </w:p>
    <w:p w14:paraId="58CF6943" w14:textId="77777777" w:rsidR="00177DF0" w:rsidRDefault="00177DF0" w:rsidP="00280964">
      <w:pPr>
        <w:ind w:left="720"/>
      </w:pPr>
    </w:p>
    <w:p w14:paraId="6ED75800" w14:textId="77777777" w:rsidR="00C47EEC" w:rsidRDefault="00C47EEC" w:rsidP="00C47EEC"/>
    <w:p w14:paraId="5657F7C0" w14:textId="77777777" w:rsidR="00C47EEC" w:rsidRDefault="00C47EEC" w:rsidP="00C47EEC">
      <w:pPr>
        <w:pStyle w:val="Heading2"/>
      </w:pPr>
      <w:r>
        <w:t>EXAMPLES</w:t>
      </w:r>
    </w:p>
    <w:p w14:paraId="07C8756B" w14:textId="77777777" w:rsidR="00280964" w:rsidRDefault="00280964" w:rsidP="00280964"/>
    <w:p w14:paraId="304D363B" w14:textId="42F57D37" w:rsidR="00280964" w:rsidRDefault="000E6ABF" w:rsidP="00280964">
      <w:pPr>
        <w:ind w:left="720"/>
      </w:pPr>
      <w:r>
        <w:t>The VCF spec could more</w:t>
      </w:r>
      <w:r w:rsidR="00280964">
        <w:t xml:space="preserve"> effectively accomplish its purpose</w:t>
      </w:r>
      <w:r>
        <w:t xml:space="preserve"> with respect to SV</w:t>
      </w:r>
      <w:r w:rsidR="00280964">
        <w:t xml:space="preserve"> if it </w:t>
      </w:r>
      <w:r>
        <w:t xml:space="preserve">were to include an example, in both shorthand and BND-type notation, </w:t>
      </w:r>
      <w:r w:rsidR="00280964">
        <w:t xml:space="preserve">for each type of variant it is meant to accommodate. Furthermore, the exercise of generating these examples </w:t>
      </w:r>
      <w:r>
        <w:t>will</w:t>
      </w:r>
      <w:r w:rsidR="00280964">
        <w:t xml:space="preserve"> likely uncover inconsistencies and/or weaknesses in the spec. </w:t>
      </w:r>
      <w:r w:rsidRPr="000E6ABF">
        <w:rPr>
          <w:i/>
        </w:rPr>
        <w:t>(Tim p</w:t>
      </w:r>
      <w:r w:rsidR="00280964" w:rsidRPr="000E6ABF">
        <w:rPr>
          <w:i/>
        </w:rPr>
        <w:t>ropose</w:t>
      </w:r>
      <w:r w:rsidRPr="000E6ABF">
        <w:rPr>
          <w:i/>
        </w:rPr>
        <w:t>s</w:t>
      </w:r>
      <w:r w:rsidR="00280964" w:rsidRPr="000E6ABF">
        <w:rPr>
          <w:i/>
        </w:rPr>
        <w:t xml:space="preserve"> we cooperate to generate a robust set of examples in both notati</w:t>
      </w:r>
      <w:r w:rsidRPr="000E6ABF">
        <w:rPr>
          <w:i/>
        </w:rPr>
        <w:t>ons.)</w:t>
      </w:r>
    </w:p>
    <w:p w14:paraId="68C7BD40" w14:textId="77777777" w:rsidR="000E6ABF" w:rsidRDefault="000E6ABF" w:rsidP="000E6ABF"/>
    <w:p w14:paraId="539F09EA" w14:textId="3FD74937" w:rsidR="000E6ABF" w:rsidRDefault="000E6ABF" w:rsidP="000E6ABF">
      <w:pPr>
        <w:keepNext/>
        <w:keepLines/>
        <w:spacing w:before="240"/>
        <w:rPr>
          <w:rFonts w:ascii="Calibri Light" w:eastAsia="Calibri Light" w:hAnsi="Calibri Light" w:cs="Calibri Light"/>
          <w:color w:val="2F5496"/>
          <w:sz w:val="32"/>
        </w:rPr>
      </w:pPr>
      <w:r>
        <w:rPr>
          <w:rFonts w:ascii="Calibri Light" w:eastAsia="Calibri Light" w:hAnsi="Calibri Light" w:cs="Calibri Light"/>
          <w:color w:val="2F5496"/>
          <w:sz w:val="32"/>
        </w:rPr>
        <w:t>Vote Topics:</w:t>
      </w:r>
    </w:p>
    <w:p w14:paraId="7A7AD1E9" w14:textId="77777777" w:rsidR="00B83EDB" w:rsidRDefault="00B83EDB" w:rsidP="000E6ABF">
      <w:pPr>
        <w:keepNext/>
        <w:keepLines/>
        <w:spacing w:before="240"/>
        <w:rPr>
          <w:rFonts w:ascii="Calibri Light" w:eastAsia="Calibri Light" w:hAnsi="Calibri Light" w:cs="Calibri Light"/>
          <w:color w:val="2F5496"/>
          <w:sz w:val="32"/>
        </w:rPr>
      </w:pPr>
    </w:p>
    <w:tbl>
      <w:tblPr>
        <w:tblStyle w:val="TableGrid"/>
        <w:tblW w:w="4882" w:type="pct"/>
        <w:tblLook w:val="04A0" w:firstRow="1" w:lastRow="0" w:firstColumn="1" w:lastColumn="0" w:noHBand="0" w:noVBand="1"/>
      </w:tblPr>
      <w:tblGrid>
        <w:gridCol w:w="4321"/>
        <w:gridCol w:w="649"/>
        <w:gridCol w:w="590"/>
        <w:gridCol w:w="593"/>
        <w:gridCol w:w="2976"/>
      </w:tblGrid>
      <w:tr w:rsidR="00B83EDB" w14:paraId="5BE9F86B" w14:textId="77777777" w:rsidTr="002673FF">
        <w:trPr>
          <w:trHeight w:val="353"/>
        </w:trPr>
        <w:tc>
          <w:tcPr>
            <w:tcW w:w="2367" w:type="pct"/>
            <w:vMerge w:val="restart"/>
          </w:tcPr>
          <w:p w14:paraId="76633254" w14:textId="5E293049" w:rsidR="00B83EDB" w:rsidRDefault="00B83EDB" w:rsidP="00B83EDB">
            <w:pPr>
              <w:keepNext/>
              <w:keepLines/>
              <w:spacing w:before="240"/>
              <w:jc w:val="center"/>
              <w:rPr>
                <w:rFonts w:ascii="Calibri Light" w:eastAsia="Calibri Light" w:hAnsi="Calibri Light" w:cs="Calibri Light"/>
                <w:color w:val="2F5496"/>
                <w:sz w:val="32"/>
              </w:rPr>
            </w:pPr>
            <w:r>
              <w:rPr>
                <w:rFonts w:ascii="Calibri Light" w:eastAsia="Calibri Light" w:hAnsi="Calibri Light" w:cs="Calibri Light"/>
                <w:color w:val="2F5496"/>
                <w:sz w:val="32"/>
              </w:rPr>
              <w:t>Proposed Action</w:t>
            </w:r>
          </w:p>
        </w:tc>
        <w:tc>
          <w:tcPr>
            <w:tcW w:w="1003" w:type="pct"/>
            <w:gridSpan w:val="3"/>
          </w:tcPr>
          <w:p w14:paraId="3AD243A1" w14:textId="3AAE2569" w:rsidR="00B83EDB" w:rsidRDefault="00B83EDB" w:rsidP="00B83EDB">
            <w:pPr>
              <w:keepNext/>
              <w:keepLines/>
              <w:spacing w:before="240"/>
              <w:jc w:val="center"/>
              <w:rPr>
                <w:rFonts w:ascii="Calibri Light" w:eastAsia="Calibri Light" w:hAnsi="Calibri Light" w:cs="Calibri Light"/>
                <w:color w:val="2F5496"/>
                <w:sz w:val="32"/>
              </w:rPr>
            </w:pPr>
            <w:r>
              <w:rPr>
                <w:rFonts w:ascii="Calibri Light" w:eastAsia="Calibri Light" w:hAnsi="Calibri Light" w:cs="Calibri Light"/>
                <w:color w:val="2F5496"/>
                <w:sz w:val="32"/>
              </w:rPr>
              <w:t>Vote</w:t>
            </w:r>
          </w:p>
        </w:tc>
        <w:tc>
          <w:tcPr>
            <w:tcW w:w="1630" w:type="pct"/>
            <w:vMerge w:val="restart"/>
          </w:tcPr>
          <w:p w14:paraId="2F794F75" w14:textId="45DE00FD" w:rsidR="00B83EDB" w:rsidRDefault="00B83EDB" w:rsidP="00B83EDB">
            <w:pPr>
              <w:keepNext/>
              <w:keepLines/>
              <w:spacing w:before="240"/>
              <w:jc w:val="center"/>
              <w:rPr>
                <w:rFonts w:ascii="Calibri Light" w:eastAsia="Calibri Light" w:hAnsi="Calibri Light" w:cs="Calibri Light"/>
                <w:color w:val="2F5496"/>
                <w:sz w:val="32"/>
              </w:rPr>
            </w:pPr>
            <w:r>
              <w:rPr>
                <w:rFonts w:ascii="Calibri Light" w:eastAsia="Calibri Light" w:hAnsi="Calibri Light" w:cs="Calibri Light"/>
                <w:color w:val="2F5496"/>
                <w:sz w:val="32"/>
              </w:rPr>
              <w:t>Comments</w:t>
            </w:r>
          </w:p>
        </w:tc>
      </w:tr>
      <w:tr w:rsidR="00B83EDB" w14:paraId="2005043D" w14:textId="77777777" w:rsidTr="002673FF">
        <w:trPr>
          <w:trHeight w:val="353"/>
        </w:trPr>
        <w:tc>
          <w:tcPr>
            <w:tcW w:w="2367" w:type="pct"/>
            <w:vMerge/>
          </w:tcPr>
          <w:p w14:paraId="2ED498B6" w14:textId="77777777" w:rsidR="00B83EDB" w:rsidRDefault="00B83EDB" w:rsidP="000E6ABF">
            <w:pPr>
              <w:keepNext/>
              <w:keepLines/>
              <w:spacing w:before="240"/>
              <w:rPr>
                <w:rFonts w:ascii="Calibri Light" w:eastAsia="Calibri Light" w:hAnsi="Calibri Light" w:cs="Calibri Light"/>
                <w:color w:val="2F5496"/>
                <w:sz w:val="32"/>
              </w:rPr>
            </w:pPr>
          </w:p>
        </w:tc>
        <w:tc>
          <w:tcPr>
            <w:tcW w:w="355" w:type="pct"/>
          </w:tcPr>
          <w:p w14:paraId="411A3A09" w14:textId="6A25FAB6" w:rsidR="00B83EDB" w:rsidRDefault="00B83EDB" w:rsidP="00B83EDB">
            <w:pPr>
              <w:keepNext/>
              <w:keepLines/>
              <w:spacing w:before="240"/>
              <w:jc w:val="center"/>
              <w:rPr>
                <w:rFonts w:ascii="Calibri Light" w:eastAsia="Calibri Light" w:hAnsi="Calibri Light" w:cs="Calibri Light"/>
                <w:color w:val="2F5496"/>
                <w:sz w:val="32"/>
              </w:rPr>
            </w:pPr>
            <w:r>
              <w:rPr>
                <w:rFonts w:ascii="Calibri Light" w:eastAsia="Calibri Light" w:hAnsi="Calibri Light" w:cs="Calibri Light"/>
                <w:color w:val="2F5496"/>
                <w:sz w:val="32"/>
              </w:rPr>
              <w:t>Yes</w:t>
            </w:r>
          </w:p>
        </w:tc>
        <w:tc>
          <w:tcPr>
            <w:tcW w:w="323" w:type="pct"/>
          </w:tcPr>
          <w:p w14:paraId="0B4B5A27" w14:textId="77777777" w:rsidR="00B83EDB" w:rsidRDefault="00B83EDB" w:rsidP="00B83EDB">
            <w:pPr>
              <w:keepNext/>
              <w:keepLines/>
              <w:spacing w:before="240"/>
              <w:jc w:val="center"/>
              <w:rPr>
                <w:rFonts w:ascii="Calibri Light" w:eastAsia="Calibri Light" w:hAnsi="Calibri Light" w:cs="Calibri Light"/>
                <w:color w:val="2F5496"/>
                <w:sz w:val="32"/>
              </w:rPr>
            </w:pPr>
            <w:r>
              <w:rPr>
                <w:rFonts w:ascii="Calibri Light" w:eastAsia="Calibri Light" w:hAnsi="Calibri Light" w:cs="Calibri Light"/>
                <w:color w:val="2F5496"/>
                <w:sz w:val="32"/>
              </w:rPr>
              <w:t>No</w:t>
            </w:r>
          </w:p>
        </w:tc>
        <w:tc>
          <w:tcPr>
            <w:tcW w:w="325" w:type="pct"/>
          </w:tcPr>
          <w:p w14:paraId="2CF3532A" w14:textId="64CE2F68" w:rsidR="00B83EDB" w:rsidRDefault="00B83EDB" w:rsidP="00B83EDB">
            <w:pPr>
              <w:keepNext/>
              <w:keepLines/>
              <w:spacing w:before="240"/>
              <w:jc w:val="center"/>
              <w:rPr>
                <w:rFonts w:ascii="Calibri Light" w:eastAsia="Calibri Light" w:hAnsi="Calibri Light" w:cs="Calibri Light"/>
                <w:color w:val="2F5496"/>
                <w:sz w:val="32"/>
              </w:rPr>
            </w:pPr>
            <w:r>
              <w:rPr>
                <w:rFonts w:ascii="Calibri Light" w:eastAsia="Calibri Light" w:hAnsi="Calibri Light" w:cs="Calibri Light"/>
                <w:color w:val="2F5496"/>
                <w:sz w:val="32"/>
              </w:rPr>
              <w:t>Un</w:t>
            </w:r>
          </w:p>
        </w:tc>
        <w:tc>
          <w:tcPr>
            <w:tcW w:w="1630" w:type="pct"/>
            <w:vMerge/>
          </w:tcPr>
          <w:p w14:paraId="0DCA2BF5" w14:textId="77777777" w:rsidR="00B83EDB" w:rsidRDefault="00B83EDB" w:rsidP="000E6ABF">
            <w:pPr>
              <w:keepNext/>
              <w:keepLines/>
              <w:spacing w:before="240"/>
              <w:rPr>
                <w:rFonts w:ascii="Calibri Light" w:eastAsia="Calibri Light" w:hAnsi="Calibri Light" w:cs="Calibri Light"/>
                <w:color w:val="2F5496"/>
                <w:sz w:val="32"/>
              </w:rPr>
            </w:pPr>
          </w:p>
        </w:tc>
      </w:tr>
      <w:tr w:rsidR="00B83EDB" w14:paraId="0C5D7597" w14:textId="77777777" w:rsidTr="002673FF">
        <w:tc>
          <w:tcPr>
            <w:tcW w:w="2367" w:type="pct"/>
          </w:tcPr>
          <w:p w14:paraId="39EC1490" w14:textId="1DD78724" w:rsidR="00B83EDB" w:rsidRDefault="00B83EDB" w:rsidP="00B83EDB">
            <w:r>
              <w:t>Shift from SVTYPE to REF/ALT for haplotypes</w:t>
            </w:r>
          </w:p>
        </w:tc>
        <w:tc>
          <w:tcPr>
            <w:tcW w:w="355" w:type="pct"/>
          </w:tcPr>
          <w:p w14:paraId="30DD9D2C" w14:textId="77777777" w:rsidR="00B83EDB" w:rsidRDefault="00B83EDB" w:rsidP="00B83EDB"/>
        </w:tc>
        <w:tc>
          <w:tcPr>
            <w:tcW w:w="323" w:type="pct"/>
          </w:tcPr>
          <w:p w14:paraId="7C55B885" w14:textId="77777777" w:rsidR="00B83EDB" w:rsidRDefault="00B83EDB" w:rsidP="00B83EDB"/>
        </w:tc>
        <w:tc>
          <w:tcPr>
            <w:tcW w:w="325" w:type="pct"/>
          </w:tcPr>
          <w:p w14:paraId="40E3780D" w14:textId="74B5C50F" w:rsidR="00B83EDB" w:rsidRDefault="00B83EDB" w:rsidP="00B83EDB"/>
        </w:tc>
        <w:tc>
          <w:tcPr>
            <w:tcW w:w="1630" w:type="pct"/>
          </w:tcPr>
          <w:p w14:paraId="7181671B" w14:textId="77777777" w:rsidR="00B83EDB" w:rsidRDefault="00B83EDB" w:rsidP="00B83EDB"/>
        </w:tc>
      </w:tr>
      <w:tr w:rsidR="00B83EDB" w14:paraId="17493358" w14:textId="77777777" w:rsidTr="00B83EDB">
        <w:tc>
          <w:tcPr>
            <w:tcW w:w="5000" w:type="pct"/>
            <w:gridSpan w:val="5"/>
          </w:tcPr>
          <w:p w14:paraId="7F7A70E0" w14:textId="6B3F9991" w:rsidR="00B83EDB" w:rsidRDefault="00B83EDB" w:rsidP="00B83EDB">
            <w:pPr>
              <w:ind w:firstLine="159"/>
            </w:pPr>
            <w:r>
              <w:t>If Yes:</w:t>
            </w:r>
          </w:p>
        </w:tc>
      </w:tr>
      <w:tr w:rsidR="00B83EDB" w14:paraId="29A98A51" w14:textId="77777777" w:rsidTr="002673FF">
        <w:tc>
          <w:tcPr>
            <w:tcW w:w="2367" w:type="pct"/>
          </w:tcPr>
          <w:p w14:paraId="6E437515" w14:textId="0BE637D9" w:rsidR="00B83EDB" w:rsidRDefault="00B83EDB" w:rsidP="00B83EDB">
            <w:pPr>
              <w:ind w:firstLine="339"/>
            </w:pPr>
            <w:r>
              <w:t>Strictly enforce “SVTYPE” controlled vocabulary in ALT</w:t>
            </w:r>
          </w:p>
        </w:tc>
        <w:tc>
          <w:tcPr>
            <w:tcW w:w="355" w:type="pct"/>
          </w:tcPr>
          <w:p w14:paraId="2CEF96B9" w14:textId="77777777" w:rsidR="00B83EDB" w:rsidRDefault="00B83EDB" w:rsidP="00B83EDB"/>
        </w:tc>
        <w:tc>
          <w:tcPr>
            <w:tcW w:w="323" w:type="pct"/>
          </w:tcPr>
          <w:p w14:paraId="0090E790" w14:textId="77777777" w:rsidR="00B83EDB" w:rsidRDefault="00B83EDB" w:rsidP="00B83EDB"/>
        </w:tc>
        <w:tc>
          <w:tcPr>
            <w:tcW w:w="325" w:type="pct"/>
          </w:tcPr>
          <w:p w14:paraId="7E7606DA" w14:textId="3ED806FD" w:rsidR="00B83EDB" w:rsidRDefault="00B83EDB" w:rsidP="00B83EDB"/>
        </w:tc>
        <w:tc>
          <w:tcPr>
            <w:tcW w:w="1630" w:type="pct"/>
          </w:tcPr>
          <w:p w14:paraId="10F1DC9F" w14:textId="77777777" w:rsidR="00B83EDB" w:rsidRDefault="00B83EDB" w:rsidP="00B83EDB"/>
        </w:tc>
      </w:tr>
      <w:tr w:rsidR="00B83EDB" w14:paraId="4B5AEFA9" w14:textId="77777777" w:rsidTr="002673FF">
        <w:tc>
          <w:tcPr>
            <w:tcW w:w="2367" w:type="pct"/>
          </w:tcPr>
          <w:p w14:paraId="682C14FF" w14:textId="19F938A1" w:rsidR="00B83EDB" w:rsidRDefault="00B83EDB" w:rsidP="00B83EDB">
            <w:pPr>
              <w:ind w:firstLine="339"/>
            </w:pPr>
            <w:r>
              <w:t>Disallow colons, subtypes in ALT</w:t>
            </w:r>
          </w:p>
        </w:tc>
        <w:tc>
          <w:tcPr>
            <w:tcW w:w="355" w:type="pct"/>
          </w:tcPr>
          <w:p w14:paraId="7E2E7717" w14:textId="77777777" w:rsidR="00B83EDB" w:rsidRDefault="00B83EDB" w:rsidP="00B83EDB"/>
        </w:tc>
        <w:tc>
          <w:tcPr>
            <w:tcW w:w="323" w:type="pct"/>
          </w:tcPr>
          <w:p w14:paraId="72659A29" w14:textId="77777777" w:rsidR="00B83EDB" w:rsidRDefault="00B83EDB" w:rsidP="00B83EDB"/>
        </w:tc>
        <w:tc>
          <w:tcPr>
            <w:tcW w:w="325" w:type="pct"/>
          </w:tcPr>
          <w:p w14:paraId="579BA23E" w14:textId="188CF37C" w:rsidR="00B83EDB" w:rsidRDefault="00B83EDB" w:rsidP="00B83EDB"/>
        </w:tc>
        <w:tc>
          <w:tcPr>
            <w:tcW w:w="1630" w:type="pct"/>
          </w:tcPr>
          <w:p w14:paraId="08AC0C27" w14:textId="77777777" w:rsidR="00B83EDB" w:rsidRDefault="00B83EDB" w:rsidP="00B83EDB"/>
        </w:tc>
      </w:tr>
      <w:tr w:rsidR="00B83EDB" w14:paraId="7C858BBF" w14:textId="77777777" w:rsidTr="002673FF">
        <w:tc>
          <w:tcPr>
            <w:tcW w:w="2367" w:type="pct"/>
          </w:tcPr>
          <w:p w14:paraId="7AA908C6" w14:textId="77777777" w:rsidR="00B83EDB" w:rsidRDefault="00B83EDB" w:rsidP="00B83EDB"/>
        </w:tc>
        <w:tc>
          <w:tcPr>
            <w:tcW w:w="355" w:type="pct"/>
          </w:tcPr>
          <w:p w14:paraId="41C280BA" w14:textId="77777777" w:rsidR="00B83EDB" w:rsidRDefault="00B83EDB" w:rsidP="00B83EDB"/>
        </w:tc>
        <w:tc>
          <w:tcPr>
            <w:tcW w:w="323" w:type="pct"/>
          </w:tcPr>
          <w:p w14:paraId="60FE5843" w14:textId="77777777" w:rsidR="00B83EDB" w:rsidRDefault="00B83EDB" w:rsidP="00B83EDB"/>
        </w:tc>
        <w:tc>
          <w:tcPr>
            <w:tcW w:w="325" w:type="pct"/>
          </w:tcPr>
          <w:p w14:paraId="5DD12F84" w14:textId="3BFC816F" w:rsidR="00B83EDB" w:rsidRDefault="00B83EDB" w:rsidP="00B83EDB"/>
        </w:tc>
        <w:tc>
          <w:tcPr>
            <w:tcW w:w="1630" w:type="pct"/>
          </w:tcPr>
          <w:p w14:paraId="3D18D3E3" w14:textId="77777777" w:rsidR="00B83EDB" w:rsidRDefault="00B83EDB" w:rsidP="00B83EDB"/>
        </w:tc>
      </w:tr>
      <w:tr w:rsidR="00B83EDB" w14:paraId="6E3C202B" w14:textId="77777777" w:rsidTr="00B83EDB">
        <w:tc>
          <w:tcPr>
            <w:tcW w:w="5000" w:type="pct"/>
            <w:gridSpan w:val="5"/>
          </w:tcPr>
          <w:p w14:paraId="5CC0DF1C" w14:textId="0B57D1D1" w:rsidR="00B83EDB" w:rsidRDefault="00B83EDB" w:rsidP="00B83EDB">
            <w:r>
              <w:t>Delete or change the following in the controlled vocabulary:</w:t>
            </w:r>
          </w:p>
        </w:tc>
      </w:tr>
      <w:tr w:rsidR="00B83EDB" w14:paraId="43CC388F" w14:textId="77777777" w:rsidTr="002673FF">
        <w:tc>
          <w:tcPr>
            <w:tcW w:w="2367" w:type="pct"/>
          </w:tcPr>
          <w:p w14:paraId="13AAFA26" w14:textId="70D65D95" w:rsidR="00B83EDB" w:rsidRDefault="00B83EDB" w:rsidP="00B83EDB">
            <w:pPr>
              <w:ind w:firstLine="159"/>
            </w:pPr>
            <w:r>
              <w:t>DEL</w:t>
            </w:r>
          </w:p>
        </w:tc>
        <w:tc>
          <w:tcPr>
            <w:tcW w:w="355" w:type="pct"/>
          </w:tcPr>
          <w:p w14:paraId="214B4645" w14:textId="77777777" w:rsidR="00B83EDB" w:rsidRDefault="00B83EDB" w:rsidP="00B83EDB"/>
        </w:tc>
        <w:tc>
          <w:tcPr>
            <w:tcW w:w="323" w:type="pct"/>
          </w:tcPr>
          <w:p w14:paraId="1B932E34" w14:textId="77777777" w:rsidR="00B83EDB" w:rsidRDefault="00B83EDB" w:rsidP="00B83EDB"/>
        </w:tc>
        <w:tc>
          <w:tcPr>
            <w:tcW w:w="325" w:type="pct"/>
          </w:tcPr>
          <w:p w14:paraId="5FD37CF6" w14:textId="45EFCCDE" w:rsidR="00B83EDB" w:rsidRDefault="00B83EDB" w:rsidP="00B83EDB"/>
        </w:tc>
        <w:tc>
          <w:tcPr>
            <w:tcW w:w="1630" w:type="pct"/>
          </w:tcPr>
          <w:p w14:paraId="4F6DD689" w14:textId="77777777" w:rsidR="00B83EDB" w:rsidRDefault="00B83EDB" w:rsidP="00B83EDB"/>
        </w:tc>
      </w:tr>
      <w:tr w:rsidR="00B83EDB" w14:paraId="4D98D045" w14:textId="77777777" w:rsidTr="002673FF">
        <w:tc>
          <w:tcPr>
            <w:tcW w:w="2367" w:type="pct"/>
          </w:tcPr>
          <w:p w14:paraId="0CA2AA48" w14:textId="6AD1038E" w:rsidR="00B83EDB" w:rsidRDefault="00B83EDB" w:rsidP="00B83EDB">
            <w:pPr>
              <w:ind w:firstLine="159"/>
            </w:pPr>
            <w:r>
              <w:t>DUP</w:t>
            </w:r>
          </w:p>
        </w:tc>
        <w:tc>
          <w:tcPr>
            <w:tcW w:w="355" w:type="pct"/>
          </w:tcPr>
          <w:p w14:paraId="576B47F3" w14:textId="77777777" w:rsidR="00B83EDB" w:rsidRDefault="00B83EDB" w:rsidP="00B83EDB"/>
        </w:tc>
        <w:tc>
          <w:tcPr>
            <w:tcW w:w="323" w:type="pct"/>
          </w:tcPr>
          <w:p w14:paraId="4723DD5B" w14:textId="77777777" w:rsidR="00B83EDB" w:rsidRDefault="00B83EDB" w:rsidP="00B83EDB"/>
        </w:tc>
        <w:tc>
          <w:tcPr>
            <w:tcW w:w="325" w:type="pct"/>
          </w:tcPr>
          <w:p w14:paraId="49B40D2B" w14:textId="322B6DE6" w:rsidR="00B83EDB" w:rsidRDefault="00B83EDB" w:rsidP="00B83EDB"/>
        </w:tc>
        <w:tc>
          <w:tcPr>
            <w:tcW w:w="1630" w:type="pct"/>
          </w:tcPr>
          <w:p w14:paraId="1B6A06EF" w14:textId="77777777" w:rsidR="00B83EDB" w:rsidRDefault="00B83EDB" w:rsidP="00B83EDB"/>
        </w:tc>
      </w:tr>
      <w:tr w:rsidR="00B83EDB" w14:paraId="66F556FE" w14:textId="77777777" w:rsidTr="002673FF">
        <w:tc>
          <w:tcPr>
            <w:tcW w:w="2367" w:type="pct"/>
          </w:tcPr>
          <w:p w14:paraId="36E7CCFA" w14:textId="6F824FA6" w:rsidR="00B83EDB" w:rsidRDefault="00B83EDB" w:rsidP="00B83EDB">
            <w:pPr>
              <w:ind w:firstLine="159"/>
            </w:pPr>
            <w:r>
              <w:t>INS</w:t>
            </w:r>
          </w:p>
        </w:tc>
        <w:tc>
          <w:tcPr>
            <w:tcW w:w="355" w:type="pct"/>
          </w:tcPr>
          <w:p w14:paraId="75AF6264" w14:textId="77777777" w:rsidR="00B83EDB" w:rsidRDefault="00B83EDB" w:rsidP="00B83EDB"/>
        </w:tc>
        <w:tc>
          <w:tcPr>
            <w:tcW w:w="323" w:type="pct"/>
          </w:tcPr>
          <w:p w14:paraId="169D78AE" w14:textId="77777777" w:rsidR="00B83EDB" w:rsidRDefault="00B83EDB" w:rsidP="00B83EDB"/>
        </w:tc>
        <w:tc>
          <w:tcPr>
            <w:tcW w:w="325" w:type="pct"/>
          </w:tcPr>
          <w:p w14:paraId="645E92C8" w14:textId="466E7579" w:rsidR="00B83EDB" w:rsidRDefault="00B83EDB" w:rsidP="00B83EDB"/>
        </w:tc>
        <w:tc>
          <w:tcPr>
            <w:tcW w:w="1630" w:type="pct"/>
          </w:tcPr>
          <w:p w14:paraId="1B31F79F" w14:textId="77777777" w:rsidR="00B83EDB" w:rsidRDefault="00B83EDB" w:rsidP="00B83EDB"/>
        </w:tc>
      </w:tr>
      <w:tr w:rsidR="00B83EDB" w14:paraId="008A1F6A" w14:textId="77777777" w:rsidTr="002673FF">
        <w:tc>
          <w:tcPr>
            <w:tcW w:w="2367" w:type="pct"/>
          </w:tcPr>
          <w:p w14:paraId="00B84C7F" w14:textId="75369740" w:rsidR="00B83EDB" w:rsidRDefault="00B83EDB" w:rsidP="00B83EDB">
            <w:pPr>
              <w:ind w:firstLine="159"/>
            </w:pPr>
            <w:r>
              <w:t>INV</w:t>
            </w:r>
          </w:p>
        </w:tc>
        <w:tc>
          <w:tcPr>
            <w:tcW w:w="355" w:type="pct"/>
          </w:tcPr>
          <w:p w14:paraId="395B5B23" w14:textId="77777777" w:rsidR="00B83EDB" w:rsidRDefault="00B83EDB" w:rsidP="00B83EDB"/>
        </w:tc>
        <w:tc>
          <w:tcPr>
            <w:tcW w:w="323" w:type="pct"/>
          </w:tcPr>
          <w:p w14:paraId="01FF9E74" w14:textId="77777777" w:rsidR="00B83EDB" w:rsidRDefault="00B83EDB" w:rsidP="00B83EDB"/>
        </w:tc>
        <w:tc>
          <w:tcPr>
            <w:tcW w:w="325" w:type="pct"/>
          </w:tcPr>
          <w:p w14:paraId="00C40DA2" w14:textId="30993E81" w:rsidR="00B83EDB" w:rsidRDefault="00B83EDB" w:rsidP="00B83EDB"/>
        </w:tc>
        <w:tc>
          <w:tcPr>
            <w:tcW w:w="1630" w:type="pct"/>
          </w:tcPr>
          <w:p w14:paraId="7C4BBC77" w14:textId="77777777" w:rsidR="00B83EDB" w:rsidRDefault="00B83EDB" w:rsidP="00B83EDB"/>
        </w:tc>
      </w:tr>
      <w:tr w:rsidR="00B83EDB" w14:paraId="130E41CA" w14:textId="77777777" w:rsidTr="002673FF">
        <w:tc>
          <w:tcPr>
            <w:tcW w:w="2367" w:type="pct"/>
          </w:tcPr>
          <w:p w14:paraId="784A3663" w14:textId="4A556D82" w:rsidR="00B83EDB" w:rsidRDefault="00B83EDB" w:rsidP="00B83EDB">
            <w:pPr>
              <w:ind w:firstLine="159"/>
            </w:pPr>
            <w:r>
              <w:t>CNV</w:t>
            </w:r>
          </w:p>
        </w:tc>
        <w:tc>
          <w:tcPr>
            <w:tcW w:w="355" w:type="pct"/>
          </w:tcPr>
          <w:p w14:paraId="52157D88" w14:textId="77777777" w:rsidR="00B83EDB" w:rsidRDefault="00B83EDB" w:rsidP="00B83EDB"/>
        </w:tc>
        <w:tc>
          <w:tcPr>
            <w:tcW w:w="323" w:type="pct"/>
          </w:tcPr>
          <w:p w14:paraId="16E02933" w14:textId="77777777" w:rsidR="00B83EDB" w:rsidRDefault="00B83EDB" w:rsidP="00B83EDB"/>
        </w:tc>
        <w:tc>
          <w:tcPr>
            <w:tcW w:w="325" w:type="pct"/>
          </w:tcPr>
          <w:p w14:paraId="1D7DB721" w14:textId="64D9E983" w:rsidR="00B83EDB" w:rsidRDefault="00B83EDB" w:rsidP="00B83EDB"/>
        </w:tc>
        <w:tc>
          <w:tcPr>
            <w:tcW w:w="1630" w:type="pct"/>
          </w:tcPr>
          <w:p w14:paraId="7AE735F7" w14:textId="77777777" w:rsidR="00B83EDB" w:rsidRDefault="00B83EDB" w:rsidP="00B83EDB"/>
        </w:tc>
      </w:tr>
      <w:tr w:rsidR="00B83EDB" w14:paraId="0BD91F14" w14:textId="77777777" w:rsidTr="002673FF">
        <w:tc>
          <w:tcPr>
            <w:tcW w:w="2367" w:type="pct"/>
          </w:tcPr>
          <w:p w14:paraId="2B7D2791" w14:textId="4A56E66C" w:rsidR="00B83EDB" w:rsidRDefault="00B83EDB" w:rsidP="00B83EDB">
            <w:pPr>
              <w:ind w:firstLine="159"/>
            </w:pPr>
            <w:r>
              <w:t>BND</w:t>
            </w:r>
          </w:p>
        </w:tc>
        <w:tc>
          <w:tcPr>
            <w:tcW w:w="355" w:type="pct"/>
          </w:tcPr>
          <w:p w14:paraId="7B63B000" w14:textId="77777777" w:rsidR="00B83EDB" w:rsidRDefault="00B83EDB" w:rsidP="00B83EDB"/>
        </w:tc>
        <w:tc>
          <w:tcPr>
            <w:tcW w:w="323" w:type="pct"/>
          </w:tcPr>
          <w:p w14:paraId="3CFA2E95" w14:textId="77777777" w:rsidR="00B83EDB" w:rsidRDefault="00B83EDB" w:rsidP="00B83EDB"/>
        </w:tc>
        <w:tc>
          <w:tcPr>
            <w:tcW w:w="325" w:type="pct"/>
          </w:tcPr>
          <w:p w14:paraId="3A63F765" w14:textId="6F1969BB" w:rsidR="00B83EDB" w:rsidRDefault="00B83EDB" w:rsidP="00B83EDB"/>
        </w:tc>
        <w:tc>
          <w:tcPr>
            <w:tcW w:w="1630" w:type="pct"/>
          </w:tcPr>
          <w:p w14:paraId="2816C039" w14:textId="77777777" w:rsidR="00B83EDB" w:rsidRDefault="00B83EDB" w:rsidP="00B83EDB"/>
        </w:tc>
      </w:tr>
      <w:tr w:rsidR="00B83EDB" w14:paraId="4BB21BFB" w14:textId="77777777" w:rsidTr="002673FF">
        <w:tc>
          <w:tcPr>
            <w:tcW w:w="2367" w:type="pct"/>
          </w:tcPr>
          <w:p w14:paraId="0A389D86" w14:textId="02D2A10B" w:rsidR="00B83EDB" w:rsidRDefault="00B83EDB" w:rsidP="00B83EDB">
            <w:pPr>
              <w:ind w:firstLine="159"/>
            </w:pPr>
            <w:r>
              <w:t>RPL</w:t>
            </w:r>
          </w:p>
        </w:tc>
        <w:tc>
          <w:tcPr>
            <w:tcW w:w="355" w:type="pct"/>
          </w:tcPr>
          <w:p w14:paraId="38FFE6CF" w14:textId="77777777" w:rsidR="00B83EDB" w:rsidRDefault="00B83EDB" w:rsidP="00B83EDB"/>
        </w:tc>
        <w:tc>
          <w:tcPr>
            <w:tcW w:w="323" w:type="pct"/>
          </w:tcPr>
          <w:p w14:paraId="49E847DB" w14:textId="77777777" w:rsidR="00B83EDB" w:rsidRDefault="00B83EDB" w:rsidP="00B83EDB"/>
        </w:tc>
        <w:tc>
          <w:tcPr>
            <w:tcW w:w="325" w:type="pct"/>
          </w:tcPr>
          <w:p w14:paraId="4C4677D4" w14:textId="05A945D2" w:rsidR="00B83EDB" w:rsidRDefault="00B83EDB" w:rsidP="00B83EDB"/>
        </w:tc>
        <w:tc>
          <w:tcPr>
            <w:tcW w:w="1630" w:type="pct"/>
          </w:tcPr>
          <w:p w14:paraId="466FD7AF" w14:textId="77777777" w:rsidR="00B83EDB" w:rsidRDefault="00B83EDB" w:rsidP="00B83EDB"/>
        </w:tc>
      </w:tr>
      <w:tr w:rsidR="00B83EDB" w14:paraId="6285717B" w14:textId="77777777" w:rsidTr="002673FF">
        <w:tc>
          <w:tcPr>
            <w:tcW w:w="2367" w:type="pct"/>
          </w:tcPr>
          <w:p w14:paraId="2F2E7A28" w14:textId="6578D45F" w:rsidR="00B83EDB" w:rsidRDefault="00B83EDB" w:rsidP="00B83EDB">
            <w:pPr>
              <w:ind w:firstLine="159"/>
            </w:pPr>
            <w:r>
              <w:t>(other?)</w:t>
            </w:r>
          </w:p>
        </w:tc>
        <w:tc>
          <w:tcPr>
            <w:tcW w:w="355" w:type="pct"/>
          </w:tcPr>
          <w:p w14:paraId="25110A9A" w14:textId="77777777" w:rsidR="00B83EDB" w:rsidRDefault="00B83EDB" w:rsidP="00B83EDB"/>
        </w:tc>
        <w:tc>
          <w:tcPr>
            <w:tcW w:w="323" w:type="pct"/>
          </w:tcPr>
          <w:p w14:paraId="52BF082B" w14:textId="77777777" w:rsidR="00B83EDB" w:rsidRDefault="00B83EDB" w:rsidP="00B83EDB"/>
        </w:tc>
        <w:tc>
          <w:tcPr>
            <w:tcW w:w="325" w:type="pct"/>
          </w:tcPr>
          <w:p w14:paraId="19D08705" w14:textId="335804DB" w:rsidR="00B83EDB" w:rsidRDefault="00B83EDB" w:rsidP="00B83EDB"/>
        </w:tc>
        <w:tc>
          <w:tcPr>
            <w:tcW w:w="1630" w:type="pct"/>
          </w:tcPr>
          <w:p w14:paraId="6FD892D2" w14:textId="77777777" w:rsidR="00B83EDB" w:rsidRDefault="00B83EDB" w:rsidP="00B83EDB"/>
        </w:tc>
      </w:tr>
      <w:tr w:rsidR="00B83EDB" w14:paraId="4ACD8C48" w14:textId="77777777" w:rsidTr="00B83EDB">
        <w:tc>
          <w:tcPr>
            <w:tcW w:w="5000" w:type="pct"/>
            <w:gridSpan w:val="5"/>
          </w:tcPr>
          <w:p w14:paraId="0F8A6190" w14:textId="6A55530C" w:rsidR="00B83EDB" w:rsidRDefault="00B83EDB" w:rsidP="00B83EDB">
            <w:r>
              <w:t>Maintain a list of SVTYPEs (Interpretation #2) with the following tag:</w:t>
            </w:r>
          </w:p>
        </w:tc>
      </w:tr>
      <w:tr w:rsidR="00B83EDB" w14:paraId="75B305D0" w14:textId="77777777" w:rsidTr="002673FF">
        <w:tc>
          <w:tcPr>
            <w:tcW w:w="2367" w:type="pct"/>
          </w:tcPr>
          <w:p w14:paraId="362EC3B7" w14:textId="665FD67D" w:rsidR="00B83EDB" w:rsidRDefault="00B83EDB" w:rsidP="00B83EDB">
            <w:pPr>
              <w:ind w:firstLine="159"/>
            </w:pPr>
            <w:r>
              <w:t>SVTYPE</w:t>
            </w:r>
          </w:p>
        </w:tc>
        <w:tc>
          <w:tcPr>
            <w:tcW w:w="355" w:type="pct"/>
          </w:tcPr>
          <w:p w14:paraId="3B170292" w14:textId="77777777" w:rsidR="00B83EDB" w:rsidRDefault="00B83EDB" w:rsidP="00B83EDB"/>
        </w:tc>
        <w:tc>
          <w:tcPr>
            <w:tcW w:w="323" w:type="pct"/>
          </w:tcPr>
          <w:p w14:paraId="3372AED9" w14:textId="77777777" w:rsidR="00B83EDB" w:rsidRDefault="00B83EDB" w:rsidP="00B83EDB"/>
        </w:tc>
        <w:tc>
          <w:tcPr>
            <w:tcW w:w="325" w:type="pct"/>
          </w:tcPr>
          <w:p w14:paraId="7CCA72A0" w14:textId="77989400" w:rsidR="00B83EDB" w:rsidRDefault="00B83EDB" w:rsidP="00B83EDB"/>
        </w:tc>
        <w:tc>
          <w:tcPr>
            <w:tcW w:w="1630" w:type="pct"/>
          </w:tcPr>
          <w:p w14:paraId="7D9C7149" w14:textId="77777777" w:rsidR="00B83EDB" w:rsidRDefault="00B83EDB" w:rsidP="00B83EDB"/>
        </w:tc>
      </w:tr>
      <w:tr w:rsidR="00B83EDB" w14:paraId="4F18A63A" w14:textId="77777777" w:rsidTr="002673FF">
        <w:tc>
          <w:tcPr>
            <w:tcW w:w="2367" w:type="pct"/>
          </w:tcPr>
          <w:p w14:paraId="367A80A2" w14:textId="05B45F2B" w:rsidR="00B83EDB" w:rsidRDefault="00B83EDB" w:rsidP="00B83EDB">
            <w:pPr>
              <w:ind w:firstLine="159"/>
            </w:pPr>
            <w:r>
              <w:t>SVCLASS</w:t>
            </w:r>
          </w:p>
        </w:tc>
        <w:tc>
          <w:tcPr>
            <w:tcW w:w="355" w:type="pct"/>
          </w:tcPr>
          <w:p w14:paraId="14A59A79" w14:textId="77777777" w:rsidR="00B83EDB" w:rsidRDefault="00B83EDB" w:rsidP="00B83EDB"/>
        </w:tc>
        <w:tc>
          <w:tcPr>
            <w:tcW w:w="323" w:type="pct"/>
          </w:tcPr>
          <w:p w14:paraId="4183C7E6" w14:textId="77777777" w:rsidR="00B83EDB" w:rsidRDefault="00B83EDB" w:rsidP="00B83EDB"/>
        </w:tc>
        <w:tc>
          <w:tcPr>
            <w:tcW w:w="325" w:type="pct"/>
          </w:tcPr>
          <w:p w14:paraId="3023E2B5" w14:textId="2A05F48E" w:rsidR="00B83EDB" w:rsidRDefault="00B83EDB" w:rsidP="00B83EDB"/>
        </w:tc>
        <w:tc>
          <w:tcPr>
            <w:tcW w:w="1630" w:type="pct"/>
          </w:tcPr>
          <w:p w14:paraId="6BBD0FEB" w14:textId="77777777" w:rsidR="00B83EDB" w:rsidRDefault="00B83EDB" w:rsidP="00B83EDB"/>
        </w:tc>
      </w:tr>
      <w:tr w:rsidR="00B83EDB" w14:paraId="689278AD" w14:textId="77777777" w:rsidTr="002673FF">
        <w:tc>
          <w:tcPr>
            <w:tcW w:w="2367" w:type="pct"/>
          </w:tcPr>
          <w:p w14:paraId="16D581E5" w14:textId="73B39B5B" w:rsidR="00B83EDB" w:rsidRDefault="00B83EDB" w:rsidP="00B83EDB">
            <w:pPr>
              <w:ind w:firstLine="159"/>
            </w:pPr>
            <w:r>
              <w:t>EVENTTYPE</w:t>
            </w:r>
          </w:p>
        </w:tc>
        <w:tc>
          <w:tcPr>
            <w:tcW w:w="355" w:type="pct"/>
          </w:tcPr>
          <w:p w14:paraId="17E4DA8D" w14:textId="77777777" w:rsidR="00B83EDB" w:rsidRDefault="00B83EDB" w:rsidP="00B83EDB"/>
        </w:tc>
        <w:tc>
          <w:tcPr>
            <w:tcW w:w="323" w:type="pct"/>
          </w:tcPr>
          <w:p w14:paraId="319130B2" w14:textId="77777777" w:rsidR="00B83EDB" w:rsidRDefault="00B83EDB" w:rsidP="00B83EDB"/>
        </w:tc>
        <w:tc>
          <w:tcPr>
            <w:tcW w:w="325" w:type="pct"/>
          </w:tcPr>
          <w:p w14:paraId="41A11B14" w14:textId="09B64C13" w:rsidR="00B83EDB" w:rsidRDefault="00B83EDB" w:rsidP="00B83EDB"/>
        </w:tc>
        <w:tc>
          <w:tcPr>
            <w:tcW w:w="1630" w:type="pct"/>
          </w:tcPr>
          <w:p w14:paraId="5C98AF85" w14:textId="77777777" w:rsidR="00B83EDB" w:rsidRDefault="00B83EDB" w:rsidP="00B83EDB"/>
        </w:tc>
      </w:tr>
      <w:tr w:rsidR="00B83EDB" w14:paraId="7AD8E1D8" w14:textId="77777777" w:rsidTr="002673FF">
        <w:tc>
          <w:tcPr>
            <w:tcW w:w="2367" w:type="pct"/>
          </w:tcPr>
          <w:p w14:paraId="325EBDA4" w14:textId="4C5BEEBD" w:rsidR="00B83EDB" w:rsidRDefault="00B83EDB" w:rsidP="00B83EDB">
            <w:pPr>
              <w:ind w:firstLine="159"/>
            </w:pPr>
            <w:r>
              <w:t>(other?)</w:t>
            </w:r>
          </w:p>
        </w:tc>
        <w:tc>
          <w:tcPr>
            <w:tcW w:w="355" w:type="pct"/>
          </w:tcPr>
          <w:p w14:paraId="779DF838" w14:textId="77777777" w:rsidR="00B83EDB" w:rsidRDefault="00B83EDB" w:rsidP="00B83EDB"/>
        </w:tc>
        <w:tc>
          <w:tcPr>
            <w:tcW w:w="323" w:type="pct"/>
          </w:tcPr>
          <w:p w14:paraId="43616040" w14:textId="77777777" w:rsidR="00B83EDB" w:rsidRDefault="00B83EDB" w:rsidP="00B83EDB"/>
        </w:tc>
        <w:tc>
          <w:tcPr>
            <w:tcW w:w="325" w:type="pct"/>
          </w:tcPr>
          <w:p w14:paraId="02486CAA" w14:textId="0317CEB3" w:rsidR="00B83EDB" w:rsidRDefault="00B83EDB" w:rsidP="00B83EDB"/>
        </w:tc>
        <w:tc>
          <w:tcPr>
            <w:tcW w:w="1630" w:type="pct"/>
          </w:tcPr>
          <w:p w14:paraId="2F7D7406" w14:textId="77777777" w:rsidR="00B83EDB" w:rsidRDefault="00B83EDB" w:rsidP="00B83EDB"/>
        </w:tc>
      </w:tr>
      <w:tr w:rsidR="00B83EDB" w14:paraId="00F5CD6C" w14:textId="77777777" w:rsidTr="002673FF">
        <w:tc>
          <w:tcPr>
            <w:tcW w:w="2367" w:type="pct"/>
          </w:tcPr>
          <w:p w14:paraId="4D93D585" w14:textId="7DE2AC16" w:rsidR="00B83EDB" w:rsidRDefault="00B83EDB" w:rsidP="00B83EDB">
            <w:r>
              <w:t>Disallow colons in above list (use single terms only)</w:t>
            </w:r>
          </w:p>
        </w:tc>
        <w:tc>
          <w:tcPr>
            <w:tcW w:w="355" w:type="pct"/>
          </w:tcPr>
          <w:p w14:paraId="3B7324BC" w14:textId="77777777" w:rsidR="00B83EDB" w:rsidRDefault="00B83EDB" w:rsidP="00B83EDB"/>
        </w:tc>
        <w:tc>
          <w:tcPr>
            <w:tcW w:w="323" w:type="pct"/>
          </w:tcPr>
          <w:p w14:paraId="713B1815" w14:textId="77777777" w:rsidR="00B83EDB" w:rsidRDefault="00B83EDB" w:rsidP="00B83EDB"/>
        </w:tc>
        <w:tc>
          <w:tcPr>
            <w:tcW w:w="325" w:type="pct"/>
          </w:tcPr>
          <w:p w14:paraId="4B551CD5" w14:textId="42206E7A" w:rsidR="00B83EDB" w:rsidRDefault="00B83EDB" w:rsidP="00B83EDB"/>
        </w:tc>
        <w:tc>
          <w:tcPr>
            <w:tcW w:w="1630" w:type="pct"/>
          </w:tcPr>
          <w:p w14:paraId="1B3FFDBC" w14:textId="77777777" w:rsidR="00B83EDB" w:rsidRDefault="00B83EDB" w:rsidP="00B83EDB"/>
        </w:tc>
      </w:tr>
      <w:tr w:rsidR="002673FF" w14:paraId="2902FCA7" w14:textId="77777777" w:rsidTr="002673FF">
        <w:tc>
          <w:tcPr>
            <w:tcW w:w="5000" w:type="pct"/>
            <w:gridSpan w:val="5"/>
          </w:tcPr>
          <w:p w14:paraId="7C5D794A" w14:textId="22592360" w:rsidR="002673FF" w:rsidRDefault="002673FF" w:rsidP="00B83EDB">
            <w:r>
              <w:t>Confidence Intervals:</w:t>
            </w:r>
          </w:p>
        </w:tc>
      </w:tr>
      <w:tr w:rsidR="00B83EDB" w14:paraId="7AAC868C" w14:textId="77777777" w:rsidTr="002673FF">
        <w:tc>
          <w:tcPr>
            <w:tcW w:w="2367" w:type="pct"/>
          </w:tcPr>
          <w:p w14:paraId="7282E3F9" w14:textId="1672A394" w:rsidR="00B83EDB" w:rsidRDefault="00B83EDB" w:rsidP="002673FF">
            <w:pPr>
              <w:ind w:firstLine="159"/>
            </w:pPr>
            <w:r>
              <w:t>Add definition of “confidence interval” to spec</w:t>
            </w:r>
          </w:p>
        </w:tc>
        <w:tc>
          <w:tcPr>
            <w:tcW w:w="355" w:type="pct"/>
          </w:tcPr>
          <w:p w14:paraId="2270B933" w14:textId="77777777" w:rsidR="00B83EDB" w:rsidRDefault="00B83EDB" w:rsidP="00B83EDB"/>
        </w:tc>
        <w:tc>
          <w:tcPr>
            <w:tcW w:w="323" w:type="pct"/>
          </w:tcPr>
          <w:p w14:paraId="1F029BD1" w14:textId="77777777" w:rsidR="00B83EDB" w:rsidRDefault="00B83EDB" w:rsidP="00B83EDB"/>
        </w:tc>
        <w:tc>
          <w:tcPr>
            <w:tcW w:w="325" w:type="pct"/>
          </w:tcPr>
          <w:p w14:paraId="597DA92D" w14:textId="6F5EB2EA" w:rsidR="00B83EDB" w:rsidRDefault="00B83EDB" w:rsidP="00B83EDB"/>
        </w:tc>
        <w:tc>
          <w:tcPr>
            <w:tcW w:w="1630" w:type="pct"/>
          </w:tcPr>
          <w:p w14:paraId="44D00069" w14:textId="77777777" w:rsidR="00B83EDB" w:rsidRDefault="00B83EDB" w:rsidP="00B83EDB"/>
        </w:tc>
      </w:tr>
      <w:tr w:rsidR="00B83EDB" w14:paraId="3D66A6CA" w14:textId="77777777" w:rsidTr="002673FF">
        <w:tc>
          <w:tcPr>
            <w:tcW w:w="2367" w:type="pct"/>
          </w:tcPr>
          <w:p w14:paraId="58460893" w14:textId="5B290B31" w:rsidR="00B83EDB" w:rsidRDefault="002673FF" w:rsidP="002673FF">
            <w:pPr>
              <w:ind w:firstLine="159"/>
            </w:pPr>
            <w:r>
              <w:t>Add</w:t>
            </w:r>
            <w:r w:rsidR="00B83EDB">
              <w:t xml:space="preserve"> usage notes for CIPOS and CIEND</w:t>
            </w:r>
          </w:p>
        </w:tc>
        <w:tc>
          <w:tcPr>
            <w:tcW w:w="355" w:type="pct"/>
          </w:tcPr>
          <w:p w14:paraId="11C3CE0A" w14:textId="77777777" w:rsidR="00B83EDB" w:rsidRDefault="00B83EDB" w:rsidP="00B83EDB"/>
        </w:tc>
        <w:tc>
          <w:tcPr>
            <w:tcW w:w="323" w:type="pct"/>
          </w:tcPr>
          <w:p w14:paraId="0C8542C2" w14:textId="77777777" w:rsidR="00B83EDB" w:rsidRDefault="00B83EDB" w:rsidP="00B83EDB"/>
        </w:tc>
        <w:tc>
          <w:tcPr>
            <w:tcW w:w="325" w:type="pct"/>
          </w:tcPr>
          <w:p w14:paraId="1FC418EC" w14:textId="30D23D45" w:rsidR="00B83EDB" w:rsidRDefault="00B83EDB" w:rsidP="00B83EDB"/>
        </w:tc>
        <w:tc>
          <w:tcPr>
            <w:tcW w:w="1630" w:type="pct"/>
          </w:tcPr>
          <w:p w14:paraId="40FCCD8E" w14:textId="77777777" w:rsidR="00B83EDB" w:rsidRDefault="00B83EDB" w:rsidP="00B83EDB"/>
        </w:tc>
      </w:tr>
      <w:tr w:rsidR="00B83EDB" w14:paraId="6B051E36" w14:textId="77777777" w:rsidTr="002673FF">
        <w:tc>
          <w:tcPr>
            <w:tcW w:w="2367" w:type="pct"/>
          </w:tcPr>
          <w:p w14:paraId="5BC0177A" w14:textId="034476EA" w:rsidR="00B83EDB" w:rsidRDefault="00B83EDB" w:rsidP="002673FF">
            <w:pPr>
              <w:ind w:firstLine="159"/>
            </w:pPr>
            <w:r>
              <w:t>Implement `CIVALUE` INFO tag</w:t>
            </w:r>
          </w:p>
        </w:tc>
        <w:tc>
          <w:tcPr>
            <w:tcW w:w="355" w:type="pct"/>
          </w:tcPr>
          <w:p w14:paraId="7351865F" w14:textId="77777777" w:rsidR="00B83EDB" w:rsidRDefault="00B83EDB" w:rsidP="00B83EDB"/>
        </w:tc>
        <w:tc>
          <w:tcPr>
            <w:tcW w:w="323" w:type="pct"/>
          </w:tcPr>
          <w:p w14:paraId="51A7E392" w14:textId="77777777" w:rsidR="00B83EDB" w:rsidRDefault="00B83EDB" w:rsidP="00B83EDB"/>
        </w:tc>
        <w:tc>
          <w:tcPr>
            <w:tcW w:w="325" w:type="pct"/>
          </w:tcPr>
          <w:p w14:paraId="199CEFA9" w14:textId="21E4629D" w:rsidR="00B83EDB" w:rsidRDefault="00B83EDB" w:rsidP="00B83EDB"/>
        </w:tc>
        <w:tc>
          <w:tcPr>
            <w:tcW w:w="1630" w:type="pct"/>
          </w:tcPr>
          <w:p w14:paraId="34A2F7B1" w14:textId="77777777" w:rsidR="00B83EDB" w:rsidRDefault="00B83EDB" w:rsidP="00B83EDB"/>
        </w:tc>
      </w:tr>
      <w:tr w:rsidR="00B83EDB" w14:paraId="03C5889B" w14:textId="77777777" w:rsidTr="002673FF">
        <w:tc>
          <w:tcPr>
            <w:tcW w:w="2367" w:type="pct"/>
          </w:tcPr>
          <w:p w14:paraId="63298CB3" w14:textId="77777777" w:rsidR="00B83EDB" w:rsidRDefault="00B83EDB" w:rsidP="00B83EDB"/>
        </w:tc>
        <w:tc>
          <w:tcPr>
            <w:tcW w:w="355" w:type="pct"/>
          </w:tcPr>
          <w:p w14:paraId="4C079AD9" w14:textId="77777777" w:rsidR="00B83EDB" w:rsidRDefault="00B83EDB" w:rsidP="00B83EDB"/>
        </w:tc>
        <w:tc>
          <w:tcPr>
            <w:tcW w:w="323" w:type="pct"/>
          </w:tcPr>
          <w:p w14:paraId="4646B6EC" w14:textId="77777777" w:rsidR="00B83EDB" w:rsidRDefault="00B83EDB" w:rsidP="00B83EDB"/>
        </w:tc>
        <w:tc>
          <w:tcPr>
            <w:tcW w:w="325" w:type="pct"/>
          </w:tcPr>
          <w:p w14:paraId="5ACC5F48" w14:textId="500E0E48" w:rsidR="00B83EDB" w:rsidRDefault="00B83EDB" w:rsidP="00B83EDB"/>
        </w:tc>
        <w:tc>
          <w:tcPr>
            <w:tcW w:w="1630" w:type="pct"/>
          </w:tcPr>
          <w:p w14:paraId="6D702EEF" w14:textId="77777777" w:rsidR="00B83EDB" w:rsidRDefault="00B83EDB" w:rsidP="00B83EDB"/>
        </w:tc>
      </w:tr>
      <w:tr w:rsidR="00B83EDB" w14:paraId="51FCF1A2" w14:textId="77777777" w:rsidTr="002673FF">
        <w:tc>
          <w:tcPr>
            <w:tcW w:w="2367" w:type="pct"/>
          </w:tcPr>
          <w:p w14:paraId="51A0597B" w14:textId="77777777" w:rsidR="00B83EDB" w:rsidRDefault="00B83EDB" w:rsidP="00B83EDB"/>
        </w:tc>
        <w:tc>
          <w:tcPr>
            <w:tcW w:w="355" w:type="pct"/>
          </w:tcPr>
          <w:p w14:paraId="0F95AA30" w14:textId="77777777" w:rsidR="00B83EDB" w:rsidRDefault="00B83EDB" w:rsidP="00B83EDB"/>
        </w:tc>
        <w:tc>
          <w:tcPr>
            <w:tcW w:w="323" w:type="pct"/>
          </w:tcPr>
          <w:p w14:paraId="774C6528" w14:textId="77777777" w:rsidR="00B83EDB" w:rsidRDefault="00B83EDB" w:rsidP="00B83EDB"/>
        </w:tc>
        <w:tc>
          <w:tcPr>
            <w:tcW w:w="325" w:type="pct"/>
          </w:tcPr>
          <w:p w14:paraId="7BAEB97E" w14:textId="15624DB9" w:rsidR="00B83EDB" w:rsidRDefault="00B83EDB" w:rsidP="00B83EDB"/>
        </w:tc>
        <w:tc>
          <w:tcPr>
            <w:tcW w:w="1630" w:type="pct"/>
          </w:tcPr>
          <w:p w14:paraId="790F109B" w14:textId="77777777" w:rsidR="00B83EDB" w:rsidRDefault="00B83EDB" w:rsidP="00B83EDB"/>
        </w:tc>
      </w:tr>
    </w:tbl>
    <w:p w14:paraId="41209E05" w14:textId="77777777" w:rsidR="001D4877" w:rsidRDefault="001D4877" w:rsidP="000E6ABF">
      <w:pPr>
        <w:keepNext/>
        <w:keepLines/>
        <w:spacing w:before="240"/>
        <w:rPr>
          <w:rFonts w:ascii="Calibri Light" w:eastAsia="Calibri Light" w:hAnsi="Calibri Light" w:cs="Calibri Light"/>
          <w:color w:val="2F5496"/>
          <w:sz w:val="32"/>
        </w:rPr>
      </w:pPr>
    </w:p>
    <w:p w14:paraId="27A275DC" w14:textId="77777777" w:rsidR="000E6ABF" w:rsidRPr="000E6ABF" w:rsidRDefault="000E6ABF" w:rsidP="000E6ABF"/>
    <w:sectPr w:rsidR="000E6ABF" w:rsidRPr="000E6ABF" w:rsidSect="00E25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">
    <w:panose1 w:val="02000500000000000000"/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61CAA"/>
    <w:multiLevelType w:val="hybridMultilevel"/>
    <w:tmpl w:val="AB3A5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E03DD"/>
    <w:multiLevelType w:val="hybridMultilevel"/>
    <w:tmpl w:val="037CF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BF4611"/>
    <w:multiLevelType w:val="hybridMultilevel"/>
    <w:tmpl w:val="8D7C7B28"/>
    <w:lvl w:ilvl="0" w:tplc="FE42D1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954FE"/>
    <w:multiLevelType w:val="hybridMultilevel"/>
    <w:tmpl w:val="BBCA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A6AAE"/>
    <w:multiLevelType w:val="hybridMultilevel"/>
    <w:tmpl w:val="E1120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FC007D"/>
    <w:multiLevelType w:val="hybridMultilevel"/>
    <w:tmpl w:val="39140038"/>
    <w:lvl w:ilvl="0" w:tplc="79260AF8">
      <w:start w:val="1"/>
      <w:numFmt w:val="lowerRoman"/>
      <w:lvlText w:val="(%1)"/>
      <w:lvlJc w:val="left"/>
      <w:pPr>
        <w:ind w:left="22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>
    <w:nsid w:val="52FE2006"/>
    <w:multiLevelType w:val="hybridMultilevel"/>
    <w:tmpl w:val="A1DAD9F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23859FB"/>
    <w:multiLevelType w:val="hybridMultilevel"/>
    <w:tmpl w:val="53F69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1B57CE"/>
    <w:multiLevelType w:val="hybridMultilevel"/>
    <w:tmpl w:val="AA4225C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4E1211"/>
    <w:multiLevelType w:val="hybridMultilevel"/>
    <w:tmpl w:val="1F4C2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6B"/>
    <w:rsid w:val="00011B55"/>
    <w:rsid w:val="0002395D"/>
    <w:rsid w:val="00035F49"/>
    <w:rsid w:val="00043DF8"/>
    <w:rsid w:val="000512E0"/>
    <w:rsid w:val="00075A5E"/>
    <w:rsid w:val="0007621E"/>
    <w:rsid w:val="000853A3"/>
    <w:rsid w:val="0008584F"/>
    <w:rsid w:val="0008591E"/>
    <w:rsid w:val="00094D17"/>
    <w:rsid w:val="00095E2B"/>
    <w:rsid w:val="000A01B0"/>
    <w:rsid w:val="000A15D0"/>
    <w:rsid w:val="000B6CD1"/>
    <w:rsid w:val="000C6EF1"/>
    <w:rsid w:val="000C71F7"/>
    <w:rsid w:val="000D3825"/>
    <w:rsid w:val="000E5385"/>
    <w:rsid w:val="000E6ABF"/>
    <w:rsid w:val="000F3FAC"/>
    <w:rsid w:val="00132908"/>
    <w:rsid w:val="00157F9E"/>
    <w:rsid w:val="001623D9"/>
    <w:rsid w:val="001624F0"/>
    <w:rsid w:val="001746A5"/>
    <w:rsid w:val="00177DF0"/>
    <w:rsid w:val="00190EB7"/>
    <w:rsid w:val="001D4877"/>
    <w:rsid w:val="001E13D7"/>
    <w:rsid w:val="001F4546"/>
    <w:rsid w:val="0020403C"/>
    <w:rsid w:val="0020774E"/>
    <w:rsid w:val="002178C1"/>
    <w:rsid w:val="00221266"/>
    <w:rsid w:val="00221B8B"/>
    <w:rsid w:val="00223C3A"/>
    <w:rsid w:val="00226F67"/>
    <w:rsid w:val="002549C8"/>
    <w:rsid w:val="00262485"/>
    <w:rsid w:val="002673FF"/>
    <w:rsid w:val="00270496"/>
    <w:rsid w:val="0028066E"/>
    <w:rsid w:val="00280964"/>
    <w:rsid w:val="00285AF3"/>
    <w:rsid w:val="002A2B93"/>
    <w:rsid w:val="002A3A48"/>
    <w:rsid w:val="002A6424"/>
    <w:rsid w:val="002B63B0"/>
    <w:rsid w:val="002D653A"/>
    <w:rsid w:val="002E1319"/>
    <w:rsid w:val="002E31EE"/>
    <w:rsid w:val="0031235C"/>
    <w:rsid w:val="00327408"/>
    <w:rsid w:val="00344BA8"/>
    <w:rsid w:val="0034770E"/>
    <w:rsid w:val="00362425"/>
    <w:rsid w:val="00381E26"/>
    <w:rsid w:val="003827B4"/>
    <w:rsid w:val="00384163"/>
    <w:rsid w:val="0039052B"/>
    <w:rsid w:val="003A2ED7"/>
    <w:rsid w:val="003C7B76"/>
    <w:rsid w:val="003D3EBE"/>
    <w:rsid w:val="003E6CE8"/>
    <w:rsid w:val="00401DB8"/>
    <w:rsid w:val="00407CCE"/>
    <w:rsid w:val="004105CE"/>
    <w:rsid w:val="00427A94"/>
    <w:rsid w:val="004354B8"/>
    <w:rsid w:val="0044473C"/>
    <w:rsid w:val="00465E0F"/>
    <w:rsid w:val="00471B49"/>
    <w:rsid w:val="00482EB0"/>
    <w:rsid w:val="00484838"/>
    <w:rsid w:val="00485890"/>
    <w:rsid w:val="004B6FF7"/>
    <w:rsid w:val="004B7D33"/>
    <w:rsid w:val="004F56D4"/>
    <w:rsid w:val="00500671"/>
    <w:rsid w:val="005140E1"/>
    <w:rsid w:val="00516342"/>
    <w:rsid w:val="0052005B"/>
    <w:rsid w:val="00535DE2"/>
    <w:rsid w:val="00543A1E"/>
    <w:rsid w:val="00543B00"/>
    <w:rsid w:val="00554C49"/>
    <w:rsid w:val="00556342"/>
    <w:rsid w:val="005570CC"/>
    <w:rsid w:val="00566E9E"/>
    <w:rsid w:val="0059647D"/>
    <w:rsid w:val="005B1142"/>
    <w:rsid w:val="005B5087"/>
    <w:rsid w:val="005D0449"/>
    <w:rsid w:val="006109A4"/>
    <w:rsid w:val="006115CA"/>
    <w:rsid w:val="006119A1"/>
    <w:rsid w:val="00631547"/>
    <w:rsid w:val="00632A03"/>
    <w:rsid w:val="0063473A"/>
    <w:rsid w:val="00646CC0"/>
    <w:rsid w:val="00661693"/>
    <w:rsid w:val="006666CA"/>
    <w:rsid w:val="0067168C"/>
    <w:rsid w:val="00694DFE"/>
    <w:rsid w:val="0069678C"/>
    <w:rsid w:val="006B3A62"/>
    <w:rsid w:val="006C6B7B"/>
    <w:rsid w:val="006D5A81"/>
    <w:rsid w:val="006E17D8"/>
    <w:rsid w:val="006E489F"/>
    <w:rsid w:val="006E49A8"/>
    <w:rsid w:val="006E5B8D"/>
    <w:rsid w:val="006E62A0"/>
    <w:rsid w:val="006E7A0E"/>
    <w:rsid w:val="006F69FF"/>
    <w:rsid w:val="0075133E"/>
    <w:rsid w:val="00753A43"/>
    <w:rsid w:val="0075533C"/>
    <w:rsid w:val="0076095B"/>
    <w:rsid w:val="00761F18"/>
    <w:rsid w:val="007634FA"/>
    <w:rsid w:val="00776735"/>
    <w:rsid w:val="0078195F"/>
    <w:rsid w:val="00785709"/>
    <w:rsid w:val="0079214F"/>
    <w:rsid w:val="007A4A14"/>
    <w:rsid w:val="007D5DBA"/>
    <w:rsid w:val="007E186B"/>
    <w:rsid w:val="007F1D0C"/>
    <w:rsid w:val="008048C5"/>
    <w:rsid w:val="00842030"/>
    <w:rsid w:val="00853584"/>
    <w:rsid w:val="00856916"/>
    <w:rsid w:val="00882DF1"/>
    <w:rsid w:val="00886AA5"/>
    <w:rsid w:val="00896C3A"/>
    <w:rsid w:val="0089724A"/>
    <w:rsid w:val="00897370"/>
    <w:rsid w:val="008D1951"/>
    <w:rsid w:val="008D564D"/>
    <w:rsid w:val="0091756B"/>
    <w:rsid w:val="0092559F"/>
    <w:rsid w:val="00934F18"/>
    <w:rsid w:val="00967111"/>
    <w:rsid w:val="009A3C8D"/>
    <w:rsid w:val="009A5090"/>
    <w:rsid w:val="009C0D7D"/>
    <w:rsid w:val="009C545A"/>
    <w:rsid w:val="009C78E7"/>
    <w:rsid w:val="00A20FC0"/>
    <w:rsid w:val="00A31BD8"/>
    <w:rsid w:val="00A32425"/>
    <w:rsid w:val="00A36517"/>
    <w:rsid w:val="00A60A26"/>
    <w:rsid w:val="00A851C6"/>
    <w:rsid w:val="00A856E0"/>
    <w:rsid w:val="00A9650D"/>
    <w:rsid w:val="00AC7FA6"/>
    <w:rsid w:val="00AE12E2"/>
    <w:rsid w:val="00AF092D"/>
    <w:rsid w:val="00B01DF4"/>
    <w:rsid w:val="00B2015C"/>
    <w:rsid w:val="00B20479"/>
    <w:rsid w:val="00B365F2"/>
    <w:rsid w:val="00B47CD8"/>
    <w:rsid w:val="00B526F8"/>
    <w:rsid w:val="00B77B1A"/>
    <w:rsid w:val="00B8186F"/>
    <w:rsid w:val="00B83EDB"/>
    <w:rsid w:val="00B9132B"/>
    <w:rsid w:val="00BA18D4"/>
    <w:rsid w:val="00BE546B"/>
    <w:rsid w:val="00BF5F52"/>
    <w:rsid w:val="00C070C4"/>
    <w:rsid w:val="00C447E3"/>
    <w:rsid w:val="00C47EEC"/>
    <w:rsid w:val="00C50E99"/>
    <w:rsid w:val="00C74166"/>
    <w:rsid w:val="00C93B9B"/>
    <w:rsid w:val="00CB7422"/>
    <w:rsid w:val="00CD3398"/>
    <w:rsid w:val="00CF00E8"/>
    <w:rsid w:val="00D20120"/>
    <w:rsid w:val="00D239F3"/>
    <w:rsid w:val="00D27047"/>
    <w:rsid w:val="00D31E6B"/>
    <w:rsid w:val="00D47C14"/>
    <w:rsid w:val="00D54BEF"/>
    <w:rsid w:val="00D74A03"/>
    <w:rsid w:val="00D8422C"/>
    <w:rsid w:val="00D84F05"/>
    <w:rsid w:val="00D87DBB"/>
    <w:rsid w:val="00D90BEA"/>
    <w:rsid w:val="00DB1675"/>
    <w:rsid w:val="00DB721C"/>
    <w:rsid w:val="00DF55F1"/>
    <w:rsid w:val="00E10A16"/>
    <w:rsid w:val="00E250A3"/>
    <w:rsid w:val="00E528AE"/>
    <w:rsid w:val="00E5767E"/>
    <w:rsid w:val="00E777E2"/>
    <w:rsid w:val="00E97093"/>
    <w:rsid w:val="00EA23F7"/>
    <w:rsid w:val="00EA5134"/>
    <w:rsid w:val="00ED0F0C"/>
    <w:rsid w:val="00EF6E31"/>
    <w:rsid w:val="00F01B17"/>
    <w:rsid w:val="00F01F9E"/>
    <w:rsid w:val="00F223AB"/>
    <w:rsid w:val="00F32D4B"/>
    <w:rsid w:val="00F5456C"/>
    <w:rsid w:val="00F55BA5"/>
    <w:rsid w:val="00F62D59"/>
    <w:rsid w:val="00F65A0C"/>
    <w:rsid w:val="00F7346D"/>
    <w:rsid w:val="00F85EA1"/>
    <w:rsid w:val="00FD13A2"/>
    <w:rsid w:val="00FD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EE51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7DF0"/>
  </w:style>
  <w:style w:type="paragraph" w:styleId="Heading1">
    <w:name w:val="heading 1"/>
    <w:basedOn w:val="Normal"/>
    <w:next w:val="Normal"/>
    <w:link w:val="Heading1Char"/>
    <w:uiPriority w:val="9"/>
    <w:qFormat/>
    <w:rsid w:val="00D31E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E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31E6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1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31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31E6B"/>
    <w:pPr>
      <w:spacing w:before="36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D31E6B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31E6B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31E6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31E6B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31E6B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31E6B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31E6B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31E6B"/>
    <w:pPr>
      <w:ind w:left="168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31E6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47E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624F0"/>
    <w:pPr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0E6ABF"/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2A3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E6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github.com/samtools/hts-specs/pull/231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808</Words>
  <Characters>4608</Characters>
  <Application>Microsoft Macintosh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Date:</vt:lpstr>
      <vt:lpstr>Attendees:</vt:lpstr>
      <vt:lpstr>Goals of this call:</vt:lpstr>
      <vt:lpstr>Background: </vt:lpstr>
      <vt:lpstr>Discussion Topics:</vt:lpstr>
      <vt:lpstr>    SVTYPE</vt:lpstr>
      <vt:lpstr>    BND/TRA</vt:lpstr>
      <vt:lpstr>    IMPRECISE</vt:lpstr>
      <vt:lpstr>    CIPOS, CIEND, CIVALUE, and “hard boundaries”</vt:lpstr>
      <vt:lpstr>    EXAMPLES</vt:lpstr>
    </vt:vector>
  </TitlesOfParts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Hefferon, Timothy (NIH/NLM/NCBI) [E]</dc:creator>
  <cp:keywords/>
  <dc:description/>
  <cp:lastModifiedBy>Hefferon, Timothy (NIH/NLM/NCBI) [E]</cp:lastModifiedBy>
  <cp:revision>4</cp:revision>
  <cp:lastPrinted>2017-09-26T17:36:00Z</cp:lastPrinted>
  <dcterms:created xsi:type="dcterms:W3CDTF">2017-09-27T11:24:00Z</dcterms:created>
  <dcterms:modified xsi:type="dcterms:W3CDTF">2017-09-27T12:40:00Z</dcterms:modified>
</cp:coreProperties>
</file>